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A3D1B" w14:textId="4350E995" w:rsidR="00F703B0" w:rsidRDefault="00F703B0" w:rsidP="00F703B0">
      <w:pPr>
        <w:spacing w:line="360" w:lineRule="auto"/>
        <w:rPr>
          <w:b/>
          <w:color w:val="FF0000"/>
          <w:sz w:val="28"/>
          <w:szCs w:val="28"/>
        </w:rPr>
      </w:pPr>
      <w:bookmarkStart w:id="0" w:name="_GoBack"/>
      <w:bookmarkEnd w:id="0"/>
      <w:r w:rsidRPr="00F703B0">
        <w:rPr>
          <w:b/>
          <w:color w:val="FF0000"/>
          <w:sz w:val="28"/>
          <w:szCs w:val="28"/>
        </w:rPr>
        <w:t xml:space="preserve">Embargoed for 00.01 </w:t>
      </w:r>
      <w:r w:rsidR="00503CF9">
        <w:rPr>
          <w:b/>
          <w:color w:val="FF0000"/>
          <w:sz w:val="28"/>
          <w:szCs w:val="28"/>
        </w:rPr>
        <w:t>Thursday 25</w:t>
      </w:r>
      <w:r w:rsidRPr="00F703B0">
        <w:rPr>
          <w:b/>
          <w:color w:val="FF0000"/>
          <w:sz w:val="28"/>
          <w:szCs w:val="28"/>
        </w:rPr>
        <w:t xml:space="preserve"> February 2016</w:t>
      </w:r>
    </w:p>
    <w:p w14:paraId="20A409C9" w14:textId="77777777" w:rsidR="00B62CD5" w:rsidRDefault="00F1463F" w:rsidP="00973771">
      <w:pPr>
        <w:spacing w:line="360" w:lineRule="auto"/>
        <w:jc w:val="center"/>
        <w:rPr>
          <w:b/>
          <w:sz w:val="28"/>
          <w:szCs w:val="28"/>
        </w:rPr>
      </w:pPr>
      <w:r>
        <w:rPr>
          <w:b/>
          <w:sz w:val="28"/>
          <w:szCs w:val="28"/>
        </w:rPr>
        <w:t>2.7</w:t>
      </w:r>
      <w:r w:rsidRPr="00BB0E42">
        <w:rPr>
          <w:b/>
          <w:sz w:val="28"/>
          <w:szCs w:val="28"/>
          <w:vertAlign w:val="superscript"/>
        </w:rPr>
        <w:t xml:space="preserve">1 </w:t>
      </w:r>
      <w:r w:rsidR="00973771">
        <w:rPr>
          <w:b/>
          <w:sz w:val="28"/>
          <w:szCs w:val="28"/>
        </w:rPr>
        <w:t>MILLI</w:t>
      </w:r>
      <w:r w:rsidR="004A7729">
        <w:rPr>
          <w:b/>
          <w:sz w:val="28"/>
          <w:szCs w:val="28"/>
        </w:rPr>
        <w:t>ON BRIT</w:t>
      </w:r>
      <w:r w:rsidR="00361BB6">
        <w:rPr>
          <w:b/>
          <w:sz w:val="28"/>
          <w:szCs w:val="28"/>
        </w:rPr>
        <w:t xml:space="preserve">ISH CONSUMERS </w:t>
      </w:r>
      <w:r w:rsidR="00F00A5D">
        <w:rPr>
          <w:b/>
          <w:sz w:val="28"/>
          <w:szCs w:val="28"/>
        </w:rPr>
        <w:t xml:space="preserve">HAVE USED </w:t>
      </w:r>
      <w:r w:rsidR="00BA0052">
        <w:rPr>
          <w:b/>
          <w:sz w:val="28"/>
          <w:szCs w:val="28"/>
        </w:rPr>
        <w:t xml:space="preserve">CREDIT CARDS, PAYDAY </w:t>
      </w:r>
      <w:r w:rsidR="00546BCD">
        <w:rPr>
          <w:b/>
          <w:sz w:val="28"/>
          <w:szCs w:val="28"/>
        </w:rPr>
        <w:t xml:space="preserve">LOANS </w:t>
      </w:r>
      <w:r w:rsidR="00BA0052">
        <w:rPr>
          <w:b/>
          <w:sz w:val="28"/>
          <w:szCs w:val="28"/>
        </w:rPr>
        <w:t>AND PERSONAL LOANS</w:t>
      </w:r>
      <w:r w:rsidR="00641A13">
        <w:rPr>
          <w:b/>
          <w:sz w:val="28"/>
          <w:szCs w:val="28"/>
        </w:rPr>
        <w:t xml:space="preserve"> </w:t>
      </w:r>
      <w:r w:rsidR="003621AE">
        <w:rPr>
          <w:b/>
          <w:sz w:val="28"/>
          <w:szCs w:val="28"/>
        </w:rPr>
        <w:t xml:space="preserve">TO PAY </w:t>
      </w:r>
      <w:r w:rsidR="00BA0052">
        <w:rPr>
          <w:b/>
          <w:sz w:val="28"/>
          <w:szCs w:val="28"/>
        </w:rPr>
        <w:t xml:space="preserve">FOR </w:t>
      </w:r>
      <w:r w:rsidR="00C2636A">
        <w:rPr>
          <w:b/>
          <w:sz w:val="28"/>
          <w:szCs w:val="28"/>
        </w:rPr>
        <w:t>FUNERAL</w:t>
      </w:r>
      <w:r w:rsidR="00BA0052">
        <w:rPr>
          <w:b/>
          <w:sz w:val="28"/>
          <w:szCs w:val="28"/>
        </w:rPr>
        <w:t>S</w:t>
      </w:r>
      <w:r w:rsidR="00C2636A">
        <w:rPr>
          <w:b/>
          <w:sz w:val="28"/>
          <w:szCs w:val="28"/>
        </w:rPr>
        <w:t xml:space="preserve"> OF </w:t>
      </w:r>
      <w:r w:rsidR="0028734C">
        <w:rPr>
          <w:b/>
          <w:sz w:val="28"/>
          <w:szCs w:val="28"/>
        </w:rPr>
        <w:t>FAMILY AND FRIENDS</w:t>
      </w:r>
    </w:p>
    <w:p w14:paraId="50182F52" w14:textId="5F1D8EC1" w:rsidR="006E5337" w:rsidRDefault="007525FE" w:rsidP="00191311">
      <w:pPr>
        <w:pStyle w:val="ListParagraph"/>
        <w:numPr>
          <w:ilvl w:val="0"/>
          <w:numId w:val="8"/>
        </w:numPr>
        <w:spacing w:line="360" w:lineRule="auto"/>
        <w:jc w:val="both"/>
        <w:rPr>
          <w:b/>
          <w:sz w:val="24"/>
          <w:szCs w:val="24"/>
        </w:rPr>
      </w:pPr>
      <w:r>
        <w:rPr>
          <w:b/>
          <w:sz w:val="24"/>
          <w:szCs w:val="24"/>
        </w:rPr>
        <w:t>A quarter</w:t>
      </w:r>
      <w:r w:rsidR="006E5337">
        <w:rPr>
          <w:b/>
          <w:sz w:val="24"/>
          <w:szCs w:val="24"/>
        </w:rPr>
        <w:t xml:space="preserve"> (</w:t>
      </w:r>
      <w:r>
        <w:rPr>
          <w:b/>
          <w:sz w:val="24"/>
          <w:szCs w:val="24"/>
        </w:rPr>
        <w:t>25</w:t>
      </w:r>
      <w:r w:rsidR="006E5337">
        <w:rPr>
          <w:b/>
          <w:sz w:val="24"/>
          <w:szCs w:val="24"/>
        </w:rPr>
        <w:t xml:space="preserve">%) </w:t>
      </w:r>
      <w:r>
        <w:rPr>
          <w:b/>
          <w:sz w:val="24"/>
          <w:szCs w:val="24"/>
        </w:rPr>
        <w:t>who</w:t>
      </w:r>
      <w:r w:rsidR="00485B13">
        <w:rPr>
          <w:b/>
          <w:sz w:val="24"/>
          <w:szCs w:val="24"/>
        </w:rPr>
        <w:t xml:space="preserve"> have</w:t>
      </w:r>
      <w:r>
        <w:rPr>
          <w:b/>
          <w:sz w:val="24"/>
          <w:szCs w:val="24"/>
        </w:rPr>
        <w:t xml:space="preserve"> deal</w:t>
      </w:r>
      <w:r w:rsidR="00485B13">
        <w:rPr>
          <w:b/>
          <w:sz w:val="24"/>
          <w:szCs w:val="24"/>
        </w:rPr>
        <w:t>t</w:t>
      </w:r>
      <w:r>
        <w:rPr>
          <w:b/>
          <w:sz w:val="24"/>
          <w:szCs w:val="24"/>
        </w:rPr>
        <w:t xml:space="preserve"> with a loved one’s </w:t>
      </w:r>
      <w:r w:rsidR="007959C0">
        <w:rPr>
          <w:b/>
          <w:sz w:val="24"/>
          <w:szCs w:val="24"/>
        </w:rPr>
        <w:t>affairs</w:t>
      </w:r>
      <w:r w:rsidR="006E5337">
        <w:rPr>
          <w:b/>
          <w:sz w:val="24"/>
          <w:szCs w:val="24"/>
        </w:rPr>
        <w:t xml:space="preserve"> </w:t>
      </w:r>
      <w:r>
        <w:rPr>
          <w:b/>
          <w:sz w:val="24"/>
          <w:szCs w:val="24"/>
        </w:rPr>
        <w:t>have</w:t>
      </w:r>
      <w:r w:rsidR="00485B13">
        <w:rPr>
          <w:b/>
          <w:sz w:val="24"/>
          <w:szCs w:val="24"/>
        </w:rPr>
        <w:t xml:space="preserve"> had</w:t>
      </w:r>
      <w:r>
        <w:rPr>
          <w:b/>
          <w:sz w:val="24"/>
          <w:szCs w:val="24"/>
        </w:rPr>
        <w:t xml:space="preserve"> </w:t>
      </w:r>
      <w:r w:rsidR="006E5337">
        <w:rPr>
          <w:b/>
          <w:sz w:val="24"/>
          <w:szCs w:val="24"/>
        </w:rPr>
        <w:t>to resort to credit cards, personal</w:t>
      </w:r>
      <w:r w:rsidR="00546BCD">
        <w:rPr>
          <w:b/>
          <w:sz w:val="24"/>
          <w:szCs w:val="24"/>
        </w:rPr>
        <w:t xml:space="preserve"> loans</w:t>
      </w:r>
      <w:r w:rsidR="006E5337">
        <w:rPr>
          <w:b/>
          <w:sz w:val="24"/>
          <w:szCs w:val="24"/>
        </w:rPr>
        <w:t xml:space="preserve"> and payday loans </w:t>
      </w:r>
      <w:r>
        <w:rPr>
          <w:b/>
          <w:sz w:val="24"/>
          <w:szCs w:val="24"/>
        </w:rPr>
        <w:t xml:space="preserve">to pay </w:t>
      </w:r>
      <w:r w:rsidR="006E5337">
        <w:rPr>
          <w:b/>
          <w:sz w:val="24"/>
          <w:szCs w:val="24"/>
        </w:rPr>
        <w:t>for funeral costs</w:t>
      </w:r>
      <w:r w:rsidR="0018496F">
        <w:rPr>
          <w:b/>
          <w:sz w:val="24"/>
          <w:szCs w:val="24"/>
        </w:rPr>
        <w:t>, spending £1.6 billion</w:t>
      </w:r>
      <w:r w:rsidR="0018496F">
        <w:rPr>
          <w:b/>
          <w:sz w:val="24"/>
          <w:szCs w:val="24"/>
          <w:vertAlign w:val="superscript"/>
        </w:rPr>
        <w:t>3</w:t>
      </w:r>
      <w:r w:rsidR="0018496F">
        <w:rPr>
          <w:b/>
          <w:sz w:val="24"/>
          <w:szCs w:val="24"/>
        </w:rPr>
        <w:t xml:space="preserve"> on such financing collectively over the last 5 years</w:t>
      </w:r>
    </w:p>
    <w:p w14:paraId="4ADC4BAF" w14:textId="217510FC" w:rsidR="002B0109" w:rsidRDefault="002B0109">
      <w:pPr>
        <w:pStyle w:val="ListParagraph"/>
        <w:numPr>
          <w:ilvl w:val="0"/>
          <w:numId w:val="8"/>
        </w:numPr>
        <w:spacing w:line="360" w:lineRule="auto"/>
        <w:jc w:val="both"/>
        <w:rPr>
          <w:b/>
          <w:sz w:val="24"/>
          <w:szCs w:val="24"/>
        </w:rPr>
      </w:pPr>
      <w:r w:rsidRPr="00120ECC">
        <w:rPr>
          <w:b/>
          <w:sz w:val="24"/>
          <w:szCs w:val="24"/>
        </w:rPr>
        <w:t>1.2 million</w:t>
      </w:r>
      <w:r w:rsidR="0018496F">
        <w:rPr>
          <w:b/>
          <w:sz w:val="24"/>
          <w:szCs w:val="24"/>
          <w:vertAlign w:val="superscript"/>
        </w:rPr>
        <w:t>4</w:t>
      </w:r>
      <w:r w:rsidRPr="00120ECC">
        <w:rPr>
          <w:b/>
          <w:sz w:val="24"/>
          <w:szCs w:val="24"/>
        </w:rPr>
        <w:t xml:space="preserve"> people</w:t>
      </w:r>
      <w:r w:rsidR="00B416F0" w:rsidRPr="00120ECC">
        <w:rPr>
          <w:b/>
          <w:sz w:val="24"/>
          <w:szCs w:val="24"/>
        </w:rPr>
        <w:t xml:space="preserve"> </w:t>
      </w:r>
      <w:r w:rsidR="00381553" w:rsidRPr="00120ECC">
        <w:rPr>
          <w:b/>
          <w:sz w:val="24"/>
          <w:szCs w:val="24"/>
        </w:rPr>
        <w:t xml:space="preserve">(11%) </w:t>
      </w:r>
      <w:r w:rsidRPr="00120ECC">
        <w:rPr>
          <w:b/>
          <w:sz w:val="24"/>
          <w:szCs w:val="24"/>
        </w:rPr>
        <w:t>have had to resort to payday loans to pay for a funeral</w:t>
      </w:r>
      <w:r w:rsidR="006F0D29" w:rsidRPr="00120ECC">
        <w:rPr>
          <w:b/>
          <w:sz w:val="24"/>
          <w:szCs w:val="24"/>
        </w:rPr>
        <w:t xml:space="preserve"> </w:t>
      </w:r>
      <w:r w:rsidR="005A5651" w:rsidRPr="00120ECC">
        <w:rPr>
          <w:b/>
          <w:sz w:val="24"/>
          <w:szCs w:val="24"/>
        </w:rPr>
        <w:t>over the last 5 years</w:t>
      </w:r>
      <w:r w:rsidR="002F3FAD">
        <w:rPr>
          <w:b/>
          <w:sz w:val="24"/>
          <w:szCs w:val="24"/>
        </w:rPr>
        <w:t xml:space="preserve"> borrowing £576 million</w:t>
      </w:r>
      <w:r w:rsidR="0018496F">
        <w:rPr>
          <w:b/>
          <w:sz w:val="24"/>
          <w:szCs w:val="24"/>
          <w:vertAlign w:val="superscript"/>
        </w:rPr>
        <w:t>3</w:t>
      </w:r>
      <w:r w:rsidR="002F3FAD">
        <w:rPr>
          <w:b/>
          <w:sz w:val="24"/>
          <w:szCs w:val="24"/>
        </w:rPr>
        <w:t xml:space="preserve"> collectively </w:t>
      </w:r>
    </w:p>
    <w:p w14:paraId="00504BD3" w14:textId="23194C1F" w:rsidR="00F12168" w:rsidRPr="00120ECC" w:rsidRDefault="0055763A" w:rsidP="00F12168">
      <w:pPr>
        <w:pStyle w:val="ListParagraph"/>
        <w:numPr>
          <w:ilvl w:val="0"/>
          <w:numId w:val="8"/>
        </w:numPr>
        <w:spacing w:line="360" w:lineRule="auto"/>
        <w:jc w:val="both"/>
        <w:rPr>
          <w:b/>
          <w:sz w:val="24"/>
          <w:szCs w:val="24"/>
        </w:rPr>
      </w:pPr>
      <w:r>
        <w:rPr>
          <w:b/>
          <w:sz w:val="24"/>
          <w:szCs w:val="24"/>
        </w:rPr>
        <w:t>Friends and families</w:t>
      </w:r>
      <w:r w:rsidR="00F12168">
        <w:rPr>
          <w:b/>
          <w:sz w:val="24"/>
          <w:szCs w:val="24"/>
        </w:rPr>
        <w:t xml:space="preserve"> </w:t>
      </w:r>
      <w:r w:rsidR="00E456DB">
        <w:rPr>
          <w:b/>
          <w:sz w:val="24"/>
          <w:szCs w:val="24"/>
        </w:rPr>
        <w:t xml:space="preserve">spent </w:t>
      </w:r>
      <w:r w:rsidR="00F12168">
        <w:rPr>
          <w:b/>
          <w:sz w:val="24"/>
          <w:szCs w:val="24"/>
        </w:rPr>
        <w:t>£</w:t>
      </w:r>
      <w:r w:rsidR="00484288">
        <w:rPr>
          <w:b/>
          <w:sz w:val="24"/>
          <w:szCs w:val="24"/>
        </w:rPr>
        <w:t>4.8</w:t>
      </w:r>
      <w:r w:rsidR="00F12168">
        <w:rPr>
          <w:b/>
          <w:sz w:val="24"/>
          <w:szCs w:val="24"/>
        </w:rPr>
        <w:t xml:space="preserve"> billion</w:t>
      </w:r>
      <w:r w:rsidR="0018496F">
        <w:rPr>
          <w:b/>
          <w:sz w:val="24"/>
          <w:szCs w:val="24"/>
          <w:vertAlign w:val="superscript"/>
        </w:rPr>
        <w:t>2</w:t>
      </w:r>
      <w:r w:rsidR="00F12168" w:rsidRPr="00F12168">
        <w:rPr>
          <w:b/>
          <w:sz w:val="24"/>
          <w:szCs w:val="24"/>
          <w:vertAlign w:val="superscript"/>
        </w:rPr>
        <w:t xml:space="preserve"> </w:t>
      </w:r>
      <w:r w:rsidR="00F12168">
        <w:rPr>
          <w:b/>
          <w:sz w:val="24"/>
          <w:szCs w:val="24"/>
        </w:rPr>
        <w:t>on funerals for loved ones over the last five years</w:t>
      </w:r>
    </w:p>
    <w:p w14:paraId="23798990" w14:textId="77777777" w:rsidR="00807C9D" w:rsidRDefault="00807C9D" w:rsidP="00F00A5D">
      <w:pPr>
        <w:pStyle w:val="ListParagraph"/>
        <w:numPr>
          <w:ilvl w:val="0"/>
          <w:numId w:val="8"/>
        </w:numPr>
        <w:spacing w:line="360" w:lineRule="auto"/>
        <w:jc w:val="both"/>
        <w:rPr>
          <w:b/>
          <w:sz w:val="24"/>
          <w:szCs w:val="24"/>
        </w:rPr>
      </w:pPr>
      <w:r>
        <w:rPr>
          <w:b/>
          <w:sz w:val="24"/>
          <w:szCs w:val="24"/>
        </w:rPr>
        <w:t xml:space="preserve">Among 18-34 year olds </w:t>
      </w:r>
      <w:r w:rsidR="00BA0052">
        <w:rPr>
          <w:b/>
          <w:sz w:val="24"/>
          <w:szCs w:val="24"/>
        </w:rPr>
        <w:t>44</w:t>
      </w:r>
      <w:r w:rsidR="00CC32EC">
        <w:rPr>
          <w:b/>
          <w:sz w:val="24"/>
          <w:szCs w:val="24"/>
        </w:rPr>
        <w:t xml:space="preserve">% used or took out a credit card and </w:t>
      </w:r>
      <w:r>
        <w:rPr>
          <w:b/>
          <w:sz w:val="24"/>
          <w:szCs w:val="24"/>
        </w:rPr>
        <w:t>27% had to resort to a payday loan</w:t>
      </w:r>
      <w:r w:rsidR="00485B13">
        <w:rPr>
          <w:b/>
          <w:sz w:val="24"/>
          <w:szCs w:val="24"/>
        </w:rPr>
        <w:t xml:space="preserve"> to pay for funeral costs </w:t>
      </w:r>
    </w:p>
    <w:p w14:paraId="089F1DBA" w14:textId="77777777" w:rsidR="00546BCD" w:rsidRPr="005A5651" w:rsidRDefault="00546BCD">
      <w:pPr>
        <w:pStyle w:val="ListParagraph"/>
        <w:numPr>
          <w:ilvl w:val="0"/>
          <w:numId w:val="8"/>
        </w:numPr>
        <w:spacing w:line="360" w:lineRule="auto"/>
        <w:jc w:val="both"/>
        <w:rPr>
          <w:b/>
          <w:sz w:val="24"/>
          <w:szCs w:val="24"/>
        </w:rPr>
      </w:pPr>
      <w:r w:rsidRPr="005A5651">
        <w:rPr>
          <w:b/>
          <w:sz w:val="24"/>
          <w:szCs w:val="24"/>
        </w:rPr>
        <w:t xml:space="preserve">Londoners </w:t>
      </w:r>
      <w:r w:rsidR="009B0F7C" w:rsidRPr="005A5651">
        <w:rPr>
          <w:b/>
          <w:sz w:val="24"/>
          <w:szCs w:val="24"/>
        </w:rPr>
        <w:t xml:space="preserve">are </w:t>
      </w:r>
      <w:r w:rsidRPr="005A5651">
        <w:rPr>
          <w:b/>
          <w:sz w:val="24"/>
          <w:szCs w:val="24"/>
        </w:rPr>
        <w:t>most likely to take out a credit card (40%) or payday loan (39%) to pay for a funeral</w:t>
      </w:r>
    </w:p>
    <w:p w14:paraId="5B442436" w14:textId="77777777" w:rsidR="006C67B1" w:rsidRPr="006C67B1" w:rsidRDefault="006C67B1" w:rsidP="006C67B1">
      <w:pPr>
        <w:pStyle w:val="ListParagraph"/>
        <w:numPr>
          <w:ilvl w:val="0"/>
          <w:numId w:val="8"/>
        </w:numPr>
        <w:spacing w:line="360" w:lineRule="auto"/>
        <w:jc w:val="both"/>
        <w:rPr>
          <w:b/>
          <w:sz w:val="24"/>
          <w:szCs w:val="24"/>
        </w:rPr>
      </w:pPr>
      <w:r>
        <w:rPr>
          <w:b/>
          <w:sz w:val="24"/>
          <w:szCs w:val="24"/>
        </w:rPr>
        <w:t xml:space="preserve">Just over a quarter (27%) of those who have managed a loved one’s affairs have had to dip into their own pockets and savings to pay for funerals </w:t>
      </w:r>
    </w:p>
    <w:p w14:paraId="602E1BEF" w14:textId="7C864626" w:rsidR="00013B62" w:rsidRPr="00013B62" w:rsidRDefault="00013B62" w:rsidP="00013B62">
      <w:pPr>
        <w:pStyle w:val="ListParagraph"/>
        <w:numPr>
          <w:ilvl w:val="0"/>
          <w:numId w:val="8"/>
        </w:numPr>
        <w:spacing w:line="360" w:lineRule="auto"/>
        <w:jc w:val="both"/>
        <w:rPr>
          <w:b/>
          <w:sz w:val="24"/>
          <w:szCs w:val="24"/>
        </w:rPr>
      </w:pPr>
      <w:r>
        <w:rPr>
          <w:b/>
          <w:sz w:val="24"/>
          <w:szCs w:val="24"/>
        </w:rPr>
        <w:t>Average expected funeral cost</w:t>
      </w:r>
      <w:r w:rsidR="00325A84">
        <w:rPr>
          <w:b/>
          <w:sz w:val="24"/>
          <w:szCs w:val="24"/>
          <w:vertAlign w:val="superscript"/>
        </w:rPr>
        <w:t>5</w:t>
      </w:r>
      <w:r>
        <w:rPr>
          <w:b/>
          <w:sz w:val="24"/>
          <w:szCs w:val="24"/>
        </w:rPr>
        <w:t xml:space="preserve"> </w:t>
      </w:r>
      <w:r w:rsidR="00DC3B15">
        <w:rPr>
          <w:b/>
          <w:sz w:val="24"/>
          <w:szCs w:val="24"/>
        </w:rPr>
        <w:t xml:space="preserve">is </w:t>
      </w:r>
      <w:r>
        <w:rPr>
          <w:b/>
          <w:sz w:val="24"/>
          <w:szCs w:val="24"/>
        </w:rPr>
        <w:t xml:space="preserve">forecast to rise by 22% over the next decade, </w:t>
      </w:r>
      <w:r w:rsidR="00C2636A">
        <w:rPr>
          <w:b/>
          <w:sz w:val="24"/>
          <w:szCs w:val="24"/>
        </w:rPr>
        <w:t xml:space="preserve">rising to </w:t>
      </w:r>
      <w:r w:rsidRPr="00B903E4">
        <w:rPr>
          <w:b/>
          <w:sz w:val="24"/>
          <w:szCs w:val="24"/>
        </w:rPr>
        <w:t>£5,066</w:t>
      </w:r>
    </w:p>
    <w:p w14:paraId="63F28460" w14:textId="2BDE6943" w:rsidR="00BA447A" w:rsidRDefault="0089673C" w:rsidP="00F00A5D">
      <w:pPr>
        <w:pStyle w:val="ListParagraph"/>
        <w:numPr>
          <w:ilvl w:val="0"/>
          <w:numId w:val="8"/>
        </w:numPr>
        <w:spacing w:line="360" w:lineRule="auto"/>
        <w:jc w:val="both"/>
        <w:rPr>
          <w:b/>
          <w:sz w:val="24"/>
          <w:szCs w:val="24"/>
        </w:rPr>
      </w:pPr>
      <w:r>
        <w:rPr>
          <w:b/>
          <w:sz w:val="24"/>
          <w:szCs w:val="24"/>
        </w:rPr>
        <w:t xml:space="preserve">Only </w:t>
      </w:r>
      <w:r w:rsidR="008A2FCF">
        <w:rPr>
          <w:b/>
          <w:sz w:val="24"/>
          <w:szCs w:val="24"/>
        </w:rPr>
        <w:t>21%</w:t>
      </w:r>
      <w:r w:rsidR="00BA447A">
        <w:rPr>
          <w:b/>
          <w:sz w:val="24"/>
          <w:szCs w:val="24"/>
        </w:rPr>
        <w:t xml:space="preserve"> </w:t>
      </w:r>
      <w:r w:rsidR="00E229D9">
        <w:rPr>
          <w:b/>
          <w:sz w:val="24"/>
          <w:szCs w:val="24"/>
        </w:rPr>
        <w:t xml:space="preserve">of UK adults </w:t>
      </w:r>
      <w:r w:rsidR="00BA447A">
        <w:rPr>
          <w:b/>
          <w:sz w:val="24"/>
          <w:szCs w:val="24"/>
        </w:rPr>
        <w:t xml:space="preserve">have some form of life or funeral cover in place </w:t>
      </w:r>
      <w:r w:rsidR="00E456DB">
        <w:rPr>
          <w:b/>
          <w:sz w:val="24"/>
          <w:szCs w:val="24"/>
        </w:rPr>
        <w:t>to cover the costs</w:t>
      </w:r>
      <w:r w:rsidR="00BA447A">
        <w:rPr>
          <w:b/>
          <w:sz w:val="24"/>
          <w:szCs w:val="24"/>
        </w:rPr>
        <w:t xml:space="preserve"> of their own death</w:t>
      </w:r>
    </w:p>
    <w:p w14:paraId="69CD4DEF" w14:textId="1C89FA0F" w:rsidR="008E45B7" w:rsidRDefault="004A7729" w:rsidP="004A7729">
      <w:pPr>
        <w:spacing w:line="360" w:lineRule="auto"/>
        <w:jc w:val="both"/>
      </w:pPr>
      <w:r>
        <w:t xml:space="preserve">A new study from British Seniors Insurance Agency today reveals that </w:t>
      </w:r>
      <w:r w:rsidR="001E4B50">
        <w:t>British consumers</w:t>
      </w:r>
      <w:r>
        <w:t xml:space="preserve"> </w:t>
      </w:r>
      <w:r w:rsidR="008E45B7">
        <w:t>have</w:t>
      </w:r>
      <w:r w:rsidR="00EC7DF3">
        <w:t xml:space="preserve"> had</w:t>
      </w:r>
      <w:r w:rsidR="00ED3430">
        <w:t xml:space="preserve"> </w:t>
      </w:r>
      <w:r>
        <w:t>to take drastic measure</w:t>
      </w:r>
      <w:r w:rsidR="00721AD3">
        <w:t>s</w:t>
      </w:r>
      <w:r>
        <w:t xml:space="preserve"> to pay for funeral</w:t>
      </w:r>
      <w:r w:rsidR="00D663D9">
        <w:t xml:space="preserve">s and </w:t>
      </w:r>
      <w:r w:rsidR="00ED3430">
        <w:t xml:space="preserve">help manage </w:t>
      </w:r>
      <w:r w:rsidR="00D663D9">
        <w:t>the affairs</w:t>
      </w:r>
      <w:r>
        <w:t xml:space="preserve"> of </w:t>
      </w:r>
      <w:r w:rsidR="00ED3430">
        <w:t xml:space="preserve">deceased </w:t>
      </w:r>
      <w:r>
        <w:t>friends a</w:t>
      </w:r>
      <w:r w:rsidR="00AC6F7D">
        <w:t xml:space="preserve">nd </w:t>
      </w:r>
      <w:r w:rsidR="00ED3430">
        <w:t>family</w:t>
      </w:r>
      <w:r w:rsidR="00AC6F7D">
        <w:t xml:space="preserve">.  </w:t>
      </w:r>
      <w:r w:rsidR="00E456DB">
        <w:t>The research reveals that family and friends in the UK have spent collectively £</w:t>
      </w:r>
      <w:r w:rsidR="00A52E2A">
        <w:t>4.8</w:t>
      </w:r>
      <w:r w:rsidR="00E456DB">
        <w:t xml:space="preserve"> billion on funerals for their loved ones over the last 5 years. And t</w:t>
      </w:r>
      <w:r w:rsidR="00AC6F7D">
        <w:t>he r</w:t>
      </w:r>
      <w:r w:rsidR="00A96F4E">
        <w:t>esearch shows</w:t>
      </w:r>
      <w:r>
        <w:t xml:space="preserve"> that </w:t>
      </w:r>
      <w:r w:rsidR="00E456DB">
        <w:t xml:space="preserve">to fund these funerals </w:t>
      </w:r>
      <w:r w:rsidR="00F1463F">
        <w:t>2.7</w:t>
      </w:r>
      <w:r w:rsidR="00FD6D7D">
        <w:t xml:space="preserve"> </w:t>
      </w:r>
      <w:r>
        <w:t>million people</w:t>
      </w:r>
      <w:r w:rsidR="00807C9D">
        <w:t xml:space="preserve"> </w:t>
      </w:r>
      <w:r w:rsidR="00A96F4E">
        <w:t>have</w:t>
      </w:r>
      <w:r>
        <w:t xml:space="preserve"> take</w:t>
      </w:r>
      <w:r w:rsidR="00A96F4E">
        <w:t>n</w:t>
      </w:r>
      <w:r w:rsidR="00641A13">
        <w:t xml:space="preserve"> out </w:t>
      </w:r>
      <w:r w:rsidR="001E4B50">
        <w:t>some form of finance (credit cards, personal loans and payday loans</w:t>
      </w:r>
      <w:r w:rsidR="00E456DB">
        <w:t>)</w:t>
      </w:r>
      <w:r w:rsidR="0018496F">
        <w:t xml:space="preserve"> spending £1.6 billion.</w:t>
      </w:r>
      <w:r w:rsidR="00F12168">
        <w:t xml:space="preserve"> </w:t>
      </w:r>
    </w:p>
    <w:p w14:paraId="0433BBB8" w14:textId="77777777" w:rsidR="007803ED" w:rsidRDefault="007803ED" w:rsidP="004A7729">
      <w:pPr>
        <w:spacing w:line="360" w:lineRule="auto"/>
        <w:jc w:val="both"/>
      </w:pPr>
    </w:p>
    <w:p w14:paraId="4C757F51" w14:textId="7325422B" w:rsidR="00487C08" w:rsidRPr="002F3FAD" w:rsidRDefault="00387EBF" w:rsidP="00E92698">
      <w:pPr>
        <w:spacing w:line="360" w:lineRule="auto"/>
        <w:jc w:val="both"/>
        <w:rPr>
          <w:b/>
        </w:rPr>
      </w:pPr>
      <w:r w:rsidRPr="002F3FAD">
        <w:rPr>
          <w:b/>
        </w:rPr>
        <w:t xml:space="preserve">Funding </w:t>
      </w:r>
      <w:r w:rsidR="00E456DB" w:rsidRPr="002F3FAD">
        <w:rPr>
          <w:b/>
        </w:rPr>
        <w:t>the</w:t>
      </w:r>
      <w:r w:rsidRPr="002F3FAD">
        <w:rPr>
          <w:b/>
        </w:rPr>
        <w:t xml:space="preserve"> funeral </w:t>
      </w:r>
      <w:r w:rsidR="00E456DB" w:rsidRPr="002F3FAD">
        <w:rPr>
          <w:b/>
        </w:rPr>
        <w:t>of a loved one</w:t>
      </w:r>
    </w:p>
    <w:p w14:paraId="2E19051D" w14:textId="72111E52" w:rsidR="0018496F" w:rsidRDefault="0018496F" w:rsidP="00387EBF">
      <w:pPr>
        <w:spacing w:line="360" w:lineRule="auto"/>
        <w:jc w:val="both"/>
      </w:pPr>
      <w:r>
        <w:t>T</w:t>
      </w:r>
      <w:r w:rsidRPr="002F3FAD">
        <w:t xml:space="preserve">he research shows </w:t>
      </w:r>
      <w:r>
        <w:t>that</w:t>
      </w:r>
      <w:r w:rsidR="00387EBF" w:rsidRPr="002F3FAD">
        <w:t xml:space="preserve"> people </w:t>
      </w:r>
      <w:r>
        <w:t xml:space="preserve">who </w:t>
      </w:r>
      <w:r w:rsidR="00387EBF" w:rsidRPr="002F3FAD">
        <w:t>are fun</w:t>
      </w:r>
      <w:r w:rsidR="000840BF">
        <w:t>ding the cost of funerals for</w:t>
      </w:r>
      <w:r w:rsidR="00387EBF" w:rsidRPr="002F3FAD">
        <w:t xml:space="preserve"> family and friends are mainly dipping into their own pockets</w:t>
      </w:r>
      <w:r w:rsidR="000953D5">
        <w:t xml:space="preserve"> (16%)</w:t>
      </w:r>
      <w:r>
        <w:t xml:space="preserve">, </w:t>
      </w:r>
      <w:r w:rsidR="00325A84">
        <w:t>spending</w:t>
      </w:r>
      <w:r w:rsidR="006A2920" w:rsidRPr="002F3FAD">
        <w:t xml:space="preserve"> £936 million collectively</w:t>
      </w:r>
      <w:r>
        <w:t xml:space="preserve"> over the last 5 years</w:t>
      </w:r>
      <w:r w:rsidR="006A2920" w:rsidRPr="002F3FAD">
        <w:t xml:space="preserve">. </w:t>
      </w:r>
      <w:r>
        <w:t>P</w:t>
      </w:r>
      <w:r w:rsidR="00387EBF" w:rsidRPr="002F3FAD">
        <w:t>ersonal savings are</w:t>
      </w:r>
      <w:r w:rsidR="006A2920" w:rsidRPr="002F3FAD">
        <w:t xml:space="preserve"> </w:t>
      </w:r>
      <w:r>
        <w:t xml:space="preserve">also </w:t>
      </w:r>
      <w:r w:rsidR="006A2920" w:rsidRPr="002F3FAD">
        <w:t xml:space="preserve">taking a </w:t>
      </w:r>
      <w:r>
        <w:t xml:space="preserve">big </w:t>
      </w:r>
      <w:r w:rsidR="006A2920" w:rsidRPr="002F3FAD">
        <w:t>hit as people have withdrawn</w:t>
      </w:r>
      <w:r w:rsidR="00387EBF" w:rsidRPr="002F3FAD">
        <w:t xml:space="preserve"> £</w:t>
      </w:r>
      <w:r w:rsidR="006A2920" w:rsidRPr="002F3FAD">
        <w:t xml:space="preserve">870 million </w:t>
      </w:r>
      <w:r w:rsidR="00387EBF" w:rsidRPr="002F3FAD">
        <w:t>from</w:t>
      </w:r>
      <w:r w:rsidR="006A2920" w:rsidRPr="002F3FAD">
        <w:t xml:space="preserve"> </w:t>
      </w:r>
      <w:r w:rsidR="00387EBF" w:rsidRPr="002F3FAD">
        <w:t xml:space="preserve">nest eggs because life cover, funeral cover or other provisions have not been put in place. </w:t>
      </w:r>
      <w:r w:rsidR="000953D5">
        <w:t xml:space="preserve">In total, 27% are paying for funerals out of their own pocket or their savings. </w:t>
      </w:r>
    </w:p>
    <w:p w14:paraId="52A234DF" w14:textId="76FB0DF7" w:rsidR="00387EBF" w:rsidRPr="002F3FAD" w:rsidRDefault="006A2920" w:rsidP="00387EBF">
      <w:pPr>
        <w:spacing w:line="360" w:lineRule="auto"/>
        <w:jc w:val="both"/>
      </w:pPr>
      <w:r w:rsidRPr="002F3FAD">
        <w:t xml:space="preserve">The new research also reveals that </w:t>
      </w:r>
      <w:r w:rsidR="0018496F">
        <w:t>of the 2.7 million people who have had to spend £1.6 billion on some form of finance</w:t>
      </w:r>
      <w:r w:rsidR="0016099F">
        <w:t xml:space="preserve"> in the last 5 years</w:t>
      </w:r>
      <w:r w:rsidRPr="002F3FAD">
        <w:t>, 1.2 million people have taken out payday loans in order to pay for the funeral of a loved one</w:t>
      </w:r>
      <w:r w:rsidR="0016099F">
        <w:t>, borrowing</w:t>
      </w:r>
      <w:r w:rsidR="00325A84">
        <w:t xml:space="preserve"> an average of </w:t>
      </w:r>
      <w:r w:rsidRPr="002F3FAD">
        <w:t>£576 million</w:t>
      </w:r>
      <w:r w:rsidR="00C90941">
        <w:t>,</w:t>
      </w:r>
      <w:r w:rsidRPr="002F3FAD">
        <w:t xml:space="preserve"> </w:t>
      </w:r>
      <w:r w:rsidR="0016099F">
        <w:t>and</w:t>
      </w:r>
      <w:r w:rsidRPr="002F3FAD">
        <w:t xml:space="preserve"> £485 </w:t>
      </w:r>
      <w:r w:rsidR="0016099F">
        <w:t xml:space="preserve">million has been </w:t>
      </w:r>
      <w:r w:rsidR="00387EBF" w:rsidRPr="002F3FAD">
        <w:t>spent on credit cards.</w:t>
      </w:r>
      <w:r w:rsidRPr="002F3FAD">
        <w:t xml:space="preserve">  When looking across the country at consumers who took some form of credit or finance to pay for a funeral, Londoners top the table with 39% of those in the Capital taking out a payday loan (borrowing £256 million) and 40% taking out a new credit card</w:t>
      </w:r>
      <w:r w:rsidR="000953D5">
        <w:t xml:space="preserve">, </w:t>
      </w:r>
      <w:r w:rsidRPr="002F3FAD">
        <w:t>spending £183 million</w:t>
      </w:r>
      <w:r w:rsidR="000953D5">
        <w:t xml:space="preserve"> on credit cards in total</w:t>
      </w:r>
      <w:r w:rsidRPr="002F3FAD">
        <w:t xml:space="preserve">.  </w:t>
      </w:r>
    </w:p>
    <w:tbl>
      <w:tblPr>
        <w:tblW w:w="6040" w:type="dxa"/>
        <w:jc w:val="center"/>
        <w:tblLook w:val="04A0" w:firstRow="1" w:lastRow="0" w:firstColumn="1" w:lastColumn="0" w:noHBand="0" w:noVBand="1"/>
      </w:tblPr>
      <w:tblGrid>
        <w:gridCol w:w="3460"/>
        <w:gridCol w:w="2580"/>
      </w:tblGrid>
      <w:tr w:rsidR="002F3FAD" w:rsidRPr="002F3FAD" w14:paraId="14DEEADB" w14:textId="77777777" w:rsidTr="002F3FAD">
        <w:trPr>
          <w:trHeight w:val="300"/>
          <w:jc w:val="center"/>
        </w:trPr>
        <w:tc>
          <w:tcPr>
            <w:tcW w:w="34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DC0ADDF" w14:textId="77777777" w:rsidR="002F3FAD" w:rsidRPr="002F3FAD" w:rsidRDefault="002F3FAD" w:rsidP="002F3FAD">
            <w:pPr>
              <w:spacing w:after="0" w:line="240" w:lineRule="auto"/>
              <w:jc w:val="center"/>
              <w:rPr>
                <w:rFonts w:eastAsia="Times New Roman" w:cs="Arial"/>
                <w:b/>
                <w:bCs/>
                <w:color w:val="FFFFFF"/>
              </w:rPr>
            </w:pPr>
            <w:r w:rsidRPr="002F3FAD">
              <w:rPr>
                <w:rFonts w:eastAsia="Times New Roman" w:cs="Arial"/>
                <w:b/>
                <w:bCs/>
                <w:color w:val="FFFFFF"/>
              </w:rPr>
              <w:t>Payment method</w:t>
            </w:r>
          </w:p>
        </w:tc>
        <w:tc>
          <w:tcPr>
            <w:tcW w:w="2580" w:type="dxa"/>
            <w:tcBorders>
              <w:top w:val="single" w:sz="4" w:space="0" w:color="auto"/>
              <w:left w:val="nil"/>
              <w:bottom w:val="single" w:sz="4" w:space="0" w:color="auto"/>
              <w:right w:val="single" w:sz="4" w:space="0" w:color="auto"/>
            </w:tcBorders>
            <w:shd w:val="clear" w:color="000000" w:fill="00B0F0"/>
            <w:noWrap/>
            <w:vAlign w:val="center"/>
            <w:hideMark/>
          </w:tcPr>
          <w:p w14:paraId="53DB086C" w14:textId="77777777" w:rsidR="002F3FAD" w:rsidRPr="002F3FAD" w:rsidRDefault="002F3FAD" w:rsidP="002F3FAD">
            <w:pPr>
              <w:spacing w:after="0" w:line="240" w:lineRule="auto"/>
              <w:jc w:val="center"/>
              <w:rPr>
                <w:rFonts w:eastAsia="Times New Roman" w:cs="Arial"/>
                <w:b/>
                <w:bCs/>
                <w:color w:val="FFFFFF"/>
              </w:rPr>
            </w:pPr>
            <w:r w:rsidRPr="002F3FAD">
              <w:rPr>
                <w:rFonts w:eastAsia="Times New Roman" w:cs="Arial"/>
                <w:b/>
                <w:bCs/>
                <w:color w:val="FFFFFF"/>
              </w:rPr>
              <w:t>All who paid for a funeral</w:t>
            </w:r>
          </w:p>
        </w:tc>
      </w:tr>
      <w:tr w:rsidR="002F3FAD" w:rsidRPr="002F3FAD" w14:paraId="6FC9C824"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46E4A24F"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Amount taken from own pocket</w:t>
            </w:r>
          </w:p>
        </w:tc>
        <w:tc>
          <w:tcPr>
            <w:tcW w:w="2580" w:type="dxa"/>
            <w:tcBorders>
              <w:top w:val="nil"/>
              <w:left w:val="nil"/>
              <w:bottom w:val="single" w:sz="4" w:space="0" w:color="auto"/>
              <w:right w:val="single" w:sz="4" w:space="0" w:color="auto"/>
            </w:tcBorders>
            <w:shd w:val="clear" w:color="000000" w:fill="FFFFFF"/>
            <w:noWrap/>
            <w:vAlign w:val="center"/>
            <w:hideMark/>
          </w:tcPr>
          <w:p w14:paraId="4C3386DE"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£936 million</w:t>
            </w:r>
          </w:p>
        </w:tc>
      </w:tr>
      <w:tr w:rsidR="002F3FAD" w:rsidRPr="002F3FAD" w14:paraId="549CB648"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2B0FF096"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Amount taken from savings</w:t>
            </w:r>
          </w:p>
        </w:tc>
        <w:tc>
          <w:tcPr>
            <w:tcW w:w="2580" w:type="dxa"/>
            <w:tcBorders>
              <w:top w:val="nil"/>
              <w:left w:val="nil"/>
              <w:bottom w:val="single" w:sz="4" w:space="0" w:color="auto"/>
              <w:right w:val="single" w:sz="4" w:space="0" w:color="auto"/>
            </w:tcBorders>
            <w:shd w:val="clear" w:color="000000" w:fill="FFFFFF"/>
            <w:noWrap/>
            <w:vAlign w:val="center"/>
            <w:hideMark/>
          </w:tcPr>
          <w:p w14:paraId="1D8D665D"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£870 million</w:t>
            </w:r>
          </w:p>
        </w:tc>
      </w:tr>
      <w:tr w:rsidR="002F3FAD" w:rsidRPr="002F3FAD" w14:paraId="02EB0780"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1B09C059"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Amount taken from pension</w:t>
            </w:r>
          </w:p>
        </w:tc>
        <w:tc>
          <w:tcPr>
            <w:tcW w:w="2580" w:type="dxa"/>
            <w:tcBorders>
              <w:top w:val="nil"/>
              <w:left w:val="nil"/>
              <w:bottom w:val="single" w:sz="4" w:space="0" w:color="auto"/>
              <w:right w:val="single" w:sz="4" w:space="0" w:color="auto"/>
            </w:tcBorders>
            <w:shd w:val="clear" w:color="000000" w:fill="FFFFFF"/>
            <w:noWrap/>
            <w:vAlign w:val="center"/>
            <w:hideMark/>
          </w:tcPr>
          <w:p w14:paraId="6024E827"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£779 million</w:t>
            </w:r>
          </w:p>
        </w:tc>
      </w:tr>
      <w:tr w:rsidR="002F3FAD" w:rsidRPr="002F3FAD" w14:paraId="71642923"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0D8B5920"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Money borrowed from family or friends</w:t>
            </w:r>
          </w:p>
        </w:tc>
        <w:tc>
          <w:tcPr>
            <w:tcW w:w="2580" w:type="dxa"/>
            <w:tcBorders>
              <w:top w:val="nil"/>
              <w:left w:val="nil"/>
              <w:bottom w:val="single" w:sz="4" w:space="0" w:color="auto"/>
              <w:right w:val="single" w:sz="4" w:space="0" w:color="auto"/>
            </w:tcBorders>
            <w:shd w:val="clear" w:color="000000" w:fill="FFFFFF"/>
            <w:noWrap/>
            <w:vAlign w:val="center"/>
            <w:hideMark/>
          </w:tcPr>
          <w:p w14:paraId="35E6C6C4"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£637 million</w:t>
            </w:r>
          </w:p>
        </w:tc>
      </w:tr>
      <w:tr w:rsidR="002F3FAD" w:rsidRPr="002F3FAD" w14:paraId="5A121C3C"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2A8B1F0C"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Payday loan</w:t>
            </w:r>
          </w:p>
        </w:tc>
        <w:tc>
          <w:tcPr>
            <w:tcW w:w="2580" w:type="dxa"/>
            <w:tcBorders>
              <w:top w:val="nil"/>
              <w:left w:val="nil"/>
              <w:bottom w:val="single" w:sz="4" w:space="0" w:color="auto"/>
              <w:right w:val="single" w:sz="4" w:space="0" w:color="auto"/>
            </w:tcBorders>
            <w:shd w:val="clear" w:color="000000" w:fill="FFFFFF"/>
            <w:noWrap/>
            <w:vAlign w:val="center"/>
            <w:hideMark/>
          </w:tcPr>
          <w:p w14:paraId="3632E89A"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£576 million</w:t>
            </w:r>
          </w:p>
        </w:tc>
      </w:tr>
      <w:tr w:rsidR="002F3FAD" w:rsidRPr="002F3FAD" w14:paraId="2E917B62" w14:textId="77777777" w:rsidTr="002F3FAD">
        <w:trPr>
          <w:trHeight w:val="300"/>
          <w:jc w:val="center"/>
        </w:trPr>
        <w:tc>
          <w:tcPr>
            <w:tcW w:w="3460" w:type="dxa"/>
            <w:tcBorders>
              <w:top w:val="nil"/>
              <w:left w:val="single" w:sz="4" w:space="0" w:color="auto"/>
              <w:bottom w:val="single" w:sz="4" w:space="0" w:color="auto"/>
              <w:right w:val="single" w:sz="4" w:space="0" w:color="auto"/>
            </w:tcBorders>
            <w:shd w:val="clear" w:color="000000" w:fill="00B0F0"/>
            <w:noWrap/>
            <w:vAlign w:val="center"/>
            <w:hideMark/>
          </w:tcPr>
          <w:p w14:paraId="03D1FDCC"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Personal loan</w:t>
            </w:r>
          </w:p>
        </w:tc>
        <w:tc>
          <w:tcPr>
            <w:tcW w:w="2580" w:type="dxa"/>
            <w:tcBorders>
              <w:top w:val="nil"/>
              <w:left w:val="nil"/>
              <w:bottom w:val="single" w:sz="4" w:space="0" w:color="auto"/>
              <w:right w:val="single" w:sz="4" w:space="0" w:color="auto"/>
            </w:tcBorders>
            <w:shd w:val="clear" w:color="000000" w:fill="FFFFFF"/>
            <w:noWrap/>
            <w:vAlign w:val="center"/>
            <w:hideMark/>
          </w:tcPr>
          <w:p w14:paraId="2A021FFA"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£537 million</w:t>
            </w:r>
          </w:p>
        </w:tc>
      </w:tr>
      <w:tr w:rsidR="002F3FAD" w:rsidRPr="002F3FAD" w14:paraId="6E16A434" w14:textId="77777777" w:rsidTr="002F3FAD">
        <w:trPr>
          <w:trHeight w:val="315"/>
          <w:jc w:val="center"/>
        </w:trPr>
        <w:tc>
          <w:tcPr>
            <w:tcW w:w="3460" w:type="dxa"/>
            <w:tcBorders>
              <w:top w:val="nil"/>
              <w:left w:val="single" w:sz="4" w:space="0" w:color="auto"/>
              <w:bottom w:val="single" w:sz="4" w:space="0" w:color="auto"/>
              <w:right w:val="single" w:sz="4" w:space="0" w:color="auto"/>
            </w:tcBorders>
            <w:shd w:val="clear" w:color="000000" w:fill="00B0F0"/>
            <w:vAlign w:val="center"/>
            <w:hideMark/>
          </w:tcPr>
          <w:p w14:paraId="1E3735F8" w14:textId="77777777" w:rsidR="002F3FAD" w:rsidRPr="002F3FAD" w:rsidRDefault="002F3FAD" w:rsidP="002F3FAD">
            <w:pPr>
              <w:spacing w:after="0" w:line="240" w:lineRule="auto"/>
              <w:jc w:val="center"/>
              <w:rPr>
                <w:rFonts w:eastAsia="Times New Roman" w:cs="Arial"/>
                <w:color w:val="FFFFFF"/>
              </w:rPr>
            </w:pPr>
            <w:r w:rsidRPr="002F3FAD">
              <w:rPr>
                <w:rFonts w:eastAsia="Times New Roman" w:cs="Arial"/>
                <w:color w:val="FFFFFF"/>
              </w:rPr>
              <w:t>Credit Card</w:t>
            </w:r>
          </w:p>
        </w:tc>
        <w:tc>
          <w:tcPr>
            <w:tcW w:w="2580" w:type="dxa"/>
            <w:tcBorders>
              <w:top w:val="nil"/>
              <w:left w:val="nil"/>
              <w:bottom w:val="single" w:sz="4" w:space="0" w:color="auto"/>
              <w:right w:val="single" w:sz="4" w:space="0" w:color="auto"/>
            </w:tcBorders>
            <w:shd w:val="clear" w:color="000000" w:fill="FFFFFF"/>
            <w:noWrap/>
            <w:vAlign w:val="center"/>
            <w:hideMark/>
          </w:tcPr>
          <w:p w14:paraId="471E3CFE" w14:textId="77777777" w:rsidR="002F3FAD" w:rsidRPr="002F3FAD" w:rsidRDefault="002F3FAD" w:rsidP="002F3FAD">
            <w:pPr>
              <w:spacing w:after="0" w:line="240" w:lineRule="auto"/>
              <w:jc w:val="center"/>
              <w:rPr>
                <w:rFonts w:eastAsia="Times New Roman" w:cs="Arial"/>
                <w:color w:val="000000"/>
              </w:rPr>
            </w:pPr>
            <w:r w:rsidRPr="002F3FAD">
              <w:rPr>
                <w:rFonts w:eastAsia="Times New Roman" w:cs="Arial"/>
                <w:color w:val="000000"/>
              </w:rPr>
              <w:t>£485 million</w:t>
            </w:r>
          </w:p>
        </w:tc>
      </w:tr>
      <w:tr w:rsidR="002F3FAD" w:rsidRPr="002F3FAD" w14:paraId="1C9071A7" w14:textId="77777777" w:rsidTr="002F3FAD">
        <w:trPr>
          <w:trHeight w:val="315"/>
          <w:jc w:val="center"/>
        </w:trPr>
        <w:tc>
          <w:tcPr>
            <w:tcW w:w="3460" w:type="dxa"/>
            <w:tcBorders>
              <w:top w:val="single" w:sz="8" w:space="0" w:color="auto"/>
              <w:left w:val="single" w:sz="8" w:space="0" w:color="auto"/>
              <w:bottom w:val="single" w:sz="8" w:space="0" w:color="auto"/>
              <w:right w:val="single" w:sz="8" w:space="0" w:color="auto"/>
            </w:tcBorders>
            <w:shd w:val="clear" w:color="000000" w:fill="00B0F0"/>
            <w:noWrap/>
            <w:vAlign w:val="center"/>
            <w:hideMark/>
          </w:tcPr>
          <w:p w14:paraId="75A6471D" w14:textId="77777777" w:rsidR="002F3FAD" w:rsidRPr="002F3FAD" w:rsidRDefault="002F3FAD" w:rsidP="002F3FAD">
            <w:pPr>
              <w:spacing w:after="0" w:line="240" w:lineRule="auto"/>
              <w:jc w:val="center"/>
              <w:rPr>
                <w:rFonts w:eastAsia="Times New Roman" w:cs="Arial"/>
                <w:b/>
                <w:bCs/>
                <w:color w:val="FFFFFF"/>
              </w:rPr>
            </w:pPr>
            <w:r w:rsidRPr="002F3FAD">
              <w:rPr>
                <w:rFonts w:eastAsia="Times New Roman" w:cs="Arial"/>
                <w:b/>
                <w:bCs/>
                <w:color w:val="FFFFFF"/>
              </w:rPr>
              <w:t>Total</w:t>
            </w:r>
          </w:p>
        </w:tc>
        <w:tc>
          <w:tcPr>
            <w:tcW w:w="2580" w:type="dxa"/>
            <w:tcBorders>
              <w:top w:val="single" w:sz="8" w:space="0" w:color="auto"/>
              <w:left w:val="nil"/>
              <w:bottom w:val="single" w:sz="8" w:space="0" w:color="auto"/>
              <w:right w:val="single" w:sz="8" w:space="0" w:color="auto"/>
            </w:tcBorders>
            <w:shd w:val="clear" w:color="000000" w:fill="FFFFFF"/>
            <w:noWrap/>
            <w:vAlign w:val="center"/>
            <w:hideMark/>
          </w:tcPr>
          <w:p w14:paraId="070316DB" w14:textId="77777777" w:rsidR="002F3FAD" w:rsidRPr="002F3FAD" w:rsidRDefault="002F3FAD" w:rsidP="002F3FAD">
            <w:pPr>
              <w:spacing w:after="0" w:line="240" w:lineRule="auto"/>
              <w:jc w:val="center"/>
              <w:rPr>
                <w:rFonts w:eastAsia="Times New Roman" w:cs="Arial"/>
                <w:b/>
                <w:bCs/>
                <w:color w:val="000000"/>
              </w:rPr>
            </w:pPr>
            <w:r w:rsidRPr="002F3FAD">
              <w:rPr>
                <w:rFonts w:eastAsia="Times New Roman" w:cs="Arial"/>
                <w:b/>
                <w:bCs/>
                <w:color w:val="000000"/>
              </w:rPr>
              <w:t>£4.8 billion</w:t>
            </w:r>
          </w:p>
        </w:tc>
      </w:tr>
    </w:tbl>
    <w:p w14:paraId="6F9C3BDF" w14:textId="23B9F369" w:rsidR="000840BF" w:rsidRPr="003C52DE" w:rsidRDefault="00387EBF" w:rsidP="000840BF">
      <w:pPr>
        <w:spacing w:line="360" w:lineRule="auto"/>
        <w:jc w:val="center"/>
        <w:rPr>
          <w:vertAlign w:val="superscript"/>
        </w:rPr>
      </w:pPr>
      <w:r w:rsidRPr="006A2920">
        <w:rPr>
          <w:b/>
          <w:i/>
          <w:sz w:val="18"/>
          <w:szCs w:val="18"/>
        </w:rPr>
        <w:t>Source: British Seniors Insurance Agency &amp; Opinium Research data January 2015 15</w:t>
      </w:r>
      <w:r w:rsidRPr="006A2920">
        <w:rPr>
          <w:b/>
          <w:i/>
          <w:sz w:val="18"/>
          <w:szCs w:val="18"/>
          <w:vertAlign w:val="superscript"/>
        </w:rPr>
        <w:t>th</w:t>
      </w:r>
      <w:r w:rsidRPr="006A2920">
        <w:rPr>
          <w:b/>
          <w:i/>
          <w:sz w:val="18"/>
          <w:szCs w:val="18"/>
        </w:rPr>
        <w:t xml:space="preserve"> – 18</w:t>
      </w:r>
      <w:r w:rsidRPr="006A2920">
        <w:rPr>
          <w:b/>
          <w:i/>
          <w:sz w:val="18"/>
          <w:szCs w:val="18"/>
          <w:vertAlign w:val="superscript"/>
        </w:rPr>
        <w:t>th</w:t>
      </w:r>
      <w:r w:rsidRPr="006A2920">
        <w:rPr>
          <w:b/>
          <w:i/>
          <w:sz w:val="18"/>
          <w:szCs w:val="18"/>
        </w:rPr>
        <w:t xml:space="preserve"> January 2016</w:t>
      </w:r>
      <w:r w:rsidR="00122DAE">
        <w:rPr>
          <w:b/>
          <w:i/>
          <w:sz w:val="18"/>
          <w:szCs w:val="18"/>
        </w:rPr>
        <w:t xml:space="preserve"> </w:t>
      </w:r>
      <w:r w:rsidR="00FB1EC1">
        <w:rPr>
          <w:b/>
          <w:i/>
          <w:sz w:val="18"/>
          <w:szCs w:val="18"/>
          <w:vertAlign w:val="superscript"/>
        </w:rPr>
        <w:t>3</w:t>
      </w:r>
    </w:p>
    <w:p w14:paraId="57B1D3EB" w14:textId="77777777" w:rsidR="000840BF" w:rsidRPr="00E92698" w:rsidRDefault="000840BF" w:rsidP="000840BF">
      <w:pPr>
        <w:spacing w:line="360" w:lineRule="auto"/>
        <w:jc w:val="both"/>
        <w:rPr>
          <w:b/>
        </w:rPr>
      </w:pPr>
      <w:r>
        <w:rPr>
          <w:b/>
        </w:rPr>
        <w:t>Younger G</w:t>
      </w:r>
      <w:r w:rsidRPr="00E92698">
        <w:rPr>
          <w:b/>
        </w:rPr>
        <w:t>eneration</w:t>
      </w:r>
      <w:r>
        <w:rPr>
          <w:b/>
        </w:rPr>
        <w:t xml:space="preserve"> hit hardest</w:t>
      </w:r>
      <w:r w:rsidRPr="00E92698">
        <w:rPr>
          <w:b/>
        </w:rPr>
        <w:t xml:space="preserve"> </w:t>
      </w:r>
    </w:p>
    <w:p w14:paraId="5C1BCC97" w14:textId="41A06B69" w:rsidR="000840BF" w:rsidRPr="000E4A68" w:rsidRDefault="000840BF" w:rsidP="000840BF">
      <w:pPr>
        <w:spacing w:line="360" w:lineRule="auto"/>
        <w:jc w:val="both"/>
      </w:pPr>
      <w:r>
        <w:t>18-34 year olds are the most affected, having to take out finance to pay the cost of funerals for their family and loved ones, with almost half (44%) using</w:t>
      </w:r>
      <w:r w:rsidRPr="00CC32EC">
        <w:t xml:space="preserve"> or t</w:t>
      </w:r>
      <w:r>
        <w:t>a</w:t>
      </w:r>
      <w:r w:rsidRPr="00CC32EC">
        <w:t>k</w:t>
      </w:r>
      <w:r>
        <w:t>ing</w:t>
      </w:r>
      <w:r w:rsidRPr="00CC32EC">
        <w:t xml:space="preserve"> out a credit card</w:t>
      </w:r>
      <w:r>
        <w:t xml:space="preserve"> and a quarter (27%) using payday loans.  The 18-34 age group have borrowed £464 million from payday loan companies </w:t>
      </w:r>
      <w:r w:rsidR="00325A84">
        <w:t xml:space="preserve">in the last five years and have spent £338 million on credit cards to cover the cost of funerals.  </w:t>
      </w:r>
      <w:r>
        <w:t xml:space="preserve">They are also the generation who are most responsible for managing the affairs of a loved one with a quarter (25%) taking on the role of organising everything from </w:t>
      </w:r>
      <w:r w:rsidRPr="00487C08">
        <w:t>possession</w:t>
      </w:r>
      <w:r>
        <w:t>, clearance and sale</w:t>
      </w:r>
      <w:r w:rsidRPr="00487C08">
        <w:t xml:space="preserve"> of the home, executing a will</w:t>
      </w:r>
      <w:r>
        <w:t xml:space="preserve"> and administration tasks such as</w:t>
      </w:r>
      <w:r w:rsidRPr="00487C08">
        <w:t xml:space="preserve"> </w:t>
      </w:r>
      <w:r>
        <w:t>sorting post, closing bank and phone accounts as well as money.</w:t>
      </w:r>
      <w:r w:rsidRPr="00487C08">
        <w:t xml:space="preserve"> </w:t>
      </w:r>
    </w:p>
    <w:p w14:paraId="74F22B17" w14:textId="77777777" w:rsidR="006A2920" w:rsidRPr="008763F0" w:rsidRDefault="006A2920" w:rsidP="006A2920">
      <w:pPr>
        <w:spacing w:line="360" w:lineRule="auto"/>
        <w:jc w:val="both"/>
        <w:rPr>
          <w:b/>
        </w:rPr>
      </w:pPr>
      <w:r w:rsidRPr="008763F0">
        <w:rPr>
          <w:b/>
        </w:rPr>
        <w:t>Ignorance isn’t bliss</w:t>
      </w:r>
    </w:p>
    <w:p w14:paraId="096BF816" w14:textId="62BFF290" w:rsidR="006A2920" w:rsidRDefault="006A2920" w:rsidP="006A2920">
      <w:pPr>
        <w:spacing w:line="360" w:lineRule="auto"/>
        <w:jc w:val="both"/>
      </w:pPr>
      <w:r w:rsidRPr="008A2FCF">
        <w:t xml:space="preserve">When asked to imagine that they were responsible for the funeral of a relative or loved one tomorrow, </w:t>
      </w:r>
      <w:r w:rsidR="0016099F">
        <w:t>4</w:t>
      </w:r>
      <w:r w:rsidR="00C90941">
        <w:t>0</w:t>
      </w:r>
      <w:r w:rsidR="0016099F">
        <w:t xml:space="preserve">% </w:t>
      </w:r>
      <w:r w:rsidRPr="008A2FCF">
        <w:t>of UK adults assume the cost of the funeral would come out of the estate</w:t>
      </w:r>
      <w:r w:rsidR="0016099F">
        <w:t xml:space="preserve"> or would be otherwise covered</w:t>
      </w:r>
      <w:r w:rsidRPr="008A2FCF">
        <w:t xml:space="preserve">, while </w:t>
      </w:r>
      <w:r w:rsidR="0016099F">
        <w:t>2</w:t>
      </w:r>
      <w:r w:rsidR="00C90941">
        <w:t>3</w:t>
      </w:r>
      <w:r w:rsidRPr="008A2FCF">
        <w:t xml:space="preserve">% think </w:t>
      </w:r>
      <w:r>
        <w:t xml:space="preserve">that </w:t>
      </w:r>
      <w:r w:rsidRPr="008A2FCF">
        <w:t xml:space="preserve">they </w:t>
      </w:r>
      <w:r>
        <w:t>would have</w:t>
      </w:r>
      <w:r w:rsidRPr="008A2FCF">
        <w:t xml:space="preserve"> to pay out of their own p</w:t>
      </w:r>
      <w:r>
        <w:t>ocket</w:t>
      </w:r>
      <w:r w:rsidR="0016099F">
        <w:t xml:space="preserve"> or savings. Only 2% anticipate they will have to pay by credit card or payday loan</w:t>
      </w:r>
      <w:r>
        <w:t xml:space="preserve"> and 17% don’t know how </w:t>
      </w:r>
      <w:r w:rsidR="0016099F">
        <w:t xml:space="preserve">the cost </w:t>
      </w:r>
      <w:r>
        <w:t xml:space="preserve">will be covered. </w:t>
      </w:r>
      <w:r w:rsidR="009950B8">
        <w:t>The</w:t>
      </w:r>
      <w:r>
        <w:t xml:space="preserve"> </w:t>
      </w:r>
      <w:r w:rsidR="0016099F">
        <w:t>proportion who don’t know how these costs will be covered rises to 25% for the 18-35 year olds who are the most affected.</w:t>
      </w:r>
    </w:p>
    <w:p w14:paraId="20DB5DFA" w14:textId="77777777" w:rsidR="00E7184E" w:rsidRDefault="00E7184E" w:rsidP="004A7729">
      <w:pPr>
        <w:spacing w:line="360" w:lineRule="auto"/>
        <w:jc w:val="both"/>
        <w:rPr>
          <w:b/>
        </w:rPr>
      </w:pPr>
      <w:r>
        <w:rPr>
          <w:b/>
        </w:rPr>
        <w:t>Funeral Costs:</w:t>
      </w:r>
    </w:p>
    <w:p w14:paraId="1AB1062E" w14:textId="7F06EAFF" w:rsidR="00F176E7" w:rsidRDefault="009D0986" w:rsidP="004A7729">
      <w:pPr>
        <w:spacing w:line="360" w:lineRule="auto"/>
        <w:jc w:val="both"/>
      </w:pPr>
      <w:r>
        <w:t>In the research</w:t>
      </w:r>
      <w:r w:rsidR="00283E05">
        <w:t xml:space="preserve"> UK adults </w:t>
      </w:r>
      <w:r>
        <w:t xml:space="preserve">estimated </w:t>
      </w:r>
      <w:r w:rsidR="006F4E8F">
        <w:t xml:space="preserve">on average </w:t>
      </w:r>
      <w:r>
        <w:t>that the</w:t>
      </w:r>
      <w:r w:rsidR="00283E05">
        <w:t xml:space="preserve"> cost of a funeral is £3,733</w:t>
      </w:r>
      <w:r w:rsidR="006F4E8F">
        <w:t>,</w:t>
      </w:r>
      <w:r w:rsidR="00283E05">
        <w:t xml:space="preserve"> however those who have had to pay for a funeral had to pay significantly more with a total average spend of £4,136</w:t>
      </w:r>
      <w:r w:rsidR="00E7184E" w:rsidRPr="009913D1">
        <w:t xml:space="preserve">. </w:t>
      </w:r>
      <w:r w:rsidR="00E456DB">
        <w:t xml:space="preserve">Loved ones </w:t>
      </w:r>
      <w:r w:rsidR="00E7184E">
        <w:t xml:space="preserve">could be </w:t>
      </w:r>
      <w:r w:rsidR="00E456DB">
        <w:t xml:space="preserve">badly </w:t>
      </w:r>
      <w:r w:rsidR="00E7184E">
        <w:t xml:space="preserve">out of pocket </w:t>
      </w:r>
      <w:r w:rsidR="00304137">
        <w:t>if the worst were to happen</w:t>
      </w:r>
      <w:r w:rsidR="00E7184E">
        <w:t>, as only 21% of UK adults have life or funeral cover in place</w:t>
      </w:r>
      <w:r w:rsidR="00E456DB">
        <w:t xml:space="preserve"> to cover the costs of their funeral</w:t>
      </w:r>
      <w:r w:rsidR="00E7184E">
        <w:t>.</w:t>
      </w:r>
      <w:r w:rsidR="00E7184E" w:rsidRPr="00E7184E">
        <w:t xml:space="preserve"> </w:t>
      </w:r>
      <w:r w:rsidR="00E7184E">
        <w:t xml:space="preserve">Londoners </w:t>
      </w:r>
      <w:r>
        <w:t xml:space="preserve">are </w:t>
      </w:r>
      <w:r w:rsidR="00E7184E">
        <w:t xml:space="preserve">more unprepared for </w:t>
      </w:r>
      <w:r w:rsidR="005C6F1C">
        <w:t>the costs of their funeral to be covered</w:t>
      </w:r>
      <w:r w:rsidR="00E7184E">
        <w:t xml:space="preserve">, </w:t>
      </w:r>
      <w:r w:rsidR="006F4E8F">
        <w:t>whi</w:t>
      </w:r>
      <w:r w:rsidR="00164FA7">
        <w:t>lst</w:t>
      </w:r>
      <w:r w:rsidR="006F4E8F">
        <w:t xml:space="preserve"> </w:t>
      </w:r>
      <w:r w:rsidR="00E7184E">
        <w:t xml:space="preserve">those outside of the South are the most prepared, with </w:t>
      </w:r>
      <w:r w:rsidR="006F4E8F">
        <w:t xml:space="preserve">those in </w:t>
      </w:r>
      <w:r w:rsidR="00E7184E">
        <w:t>the North East (27%) most likely to have life insurance in place followed by 26% of Scots.</w:t>
      </w:r>
    </w:p>
    <w:p w14:paraId="1446DBB2" w14:textId="77777777" w:rsidR="00D976D6" w:rsidRPr="00D976D6" w:rsidRDefault="00D976D6" w:rsidP="00F91FDE">
      <w:pPr>
        <w:spacing w:line="360" w:lineRule="auto"/>
        <w:jc w:val="both"/>
        <w:rPr>
          <w:b/>
        </w:rPr>
      </w:pPr>
      <w:r w:rsidRPr="00D976D6">
        <w:rPr>
          <w:b/>
        </w:rPr>
        <w:t>The Future of Funeral Costs</w:t>
      </w:r>
      <w:r w:rsidR="00641A13">
        <w:rPr>
          <w:b/>
        </w:rPr>
        <w:t>:</w:t>
      </w:r>
    </w:p>
    <w:p w14:paraId="7D66EBFD" w14:textId="4C6E7568" w:rsidR="00661F6F" w:rsidRPr="009913D1" w:rsidRDefault="005C3734" w:rsidP="00F91FDE">
      <w:pPr>
        <w:spacing w:line="360" w:lineRule="auto"/>
        <w:jc w:val="both"/>
      </w:pPr>
      <w:r>
        <w:rPr>
          <w:b/>
          <w:i/>
          <w:noProof/>
          <w:sz w:val="18"/>
          <w:szCs w:val="18"/>
        </w:rPr>
        <mc:AlternateContent>
          <mc:Choice Requires="wps">
            <w:drawing>
              <wp:anchor distT="0" distB="0" distL="114300" distR="114300" simplePos="0" relativeHeight="251662336" behindDoc="0" locked="0" layoutInCell="1" allowOverlap="1" wp14:anchorId="15587A3C" wp14:editId="7E5611A8">
                <wp:simplePos x="0" y="0"/>
                <wp:positionH relativeFrom="margin">
                  <wp:posOffset>-66674</wp:posOffset>
                </wp:positionH>
                <wp:positionV relativeFrom="paragraph">
                  <wp:posOffset>1003935</wp:posOffset>
                </wp:positionV>
                <wp:extent cx="5676900" cy="2171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676900" cy="2171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EBB191" w14:textId="77777777" w:rsidR="006B0B87" w:rsidRPr="006B0B87" w:rsidRDefault="006B0B87" w:rsidP="00F176E7">
                            <w:pPr>
                              <w:tabs>
                                <w:tab w:val="left" w:pos="5340"/>
                              </w:tabs>
                              <w:rPr>
                                <w:rFonts w:ascii="Calibri" w:hAnsi="Calibri"/>
                                <w:b/>
                              </w:rPr>
                            </w:pPr>
                          </w:p>
                          <w:tbl>
                            <w:tblPr>
                              <w:tblW w:w="4975" w:type="dxa"/>
                              <w:tblInd w:w="1930" w:type="dxa"/>
                              <w:tblLook w:val="04A0" w:firstRow="1" w:lastRow="0" w:firstColumn="1" w:lastColumn="0" w:noHBand="0" w:noVBand="1"/>
                            </w:tblPr>
                            <w:tblGrid>
                              <w:gridCol w:w="1371"/>
                              <w:gridCol w:w="1802"/>
                              <w:gridCol w:w="1802"/>
                            </w:tblGrid>
                            <w:tr w:rsidR="006B0B87" w:rsidRPr="00AC31AE" w14:paraId="297CBB1B" w14:textId="77777777" w:rsidTr="005A5651">
                              <w:trPr>
                                <w:trHeight w:val="756"/>
                              </w:trPr>
                              <w:tc>
                                <w:tcPr>
                                  <w:tcW w:w="1371"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hideMark/>
                                </w:tcPr>
                                <w:p w14:paraId="1E07EA5C" w14:textId="77777777" w:rsidR="006B0B87" w:rsidRPr="00AC31AE" w:rsidRDefault="006B0B87" w:rsidP="0051609B">
                                  <w:pPr>
                                    <w:spacing w:after="0" w:line="240" w:lineRule="auto"/>
                                    <w:jc w:val="center"/>
                                    <w:rPr>
                                      <w:rFonts w:ascii="Calibri" w:eastAsia="Times New Roman" w:hAnsi="Calibri" w:cs="Arial"/>
                                      <w:b/>
                                      <w:bCs/>
                                      <w:color w:val="000000"/>
                                    </w:rPr>
                                  </w:pPr>
                                  <w:r w:rsidRPr="00AC31AE">
                                    <w:rPr>
                                      <w:rFonts w:ascii="Calibri" w:eastAsia="Times New Roman" w:hAnsi="Calibri" w:cs="Arial"/>
                                      <w:b/>
                                      <w:bCs/>
                                      <w:color w:val="000000"/>
                                    </w:rPr>
                                    <w:t>Year</w:t>
                                  </w:r>
                                </w:p>
                              </w:tc>
                              <w:tc>
                                <w:tcPr>
                                  <w:tcW w:w="1802" w:type="dxa"/>
                                  <w:tcBorders>
                                    <w:top w:val="single" w:sz="4" w:space="0" w:color="00B0F0"/>
                                    <w:left w:val="nil"/>
                                    <w:bottom w:val="single" w:sz="4" w:space="0" w:color="00B0F0"/>
                                    <w:right w:val="single" w:sz="4" w:space="0" w:color="00B0F0"/>
                                  </w:tcBorders>
                                  <w:shd w:val="clear" w:color="auto" w:fill="BFBFBF" w:themeFill="background1" w:themeFillShade="BF"/>
                                  <w:vAlign w:val="center"/>
                                  <w:hideMark/>
                                </w:tcPr>
                                <w:p w14:paraId="30B6875E" w14:textId="77777777" w:rsidR="006B0B87" w:rsidRPr="00AC31AE" w:rsidRDefault="00F1463F" w:rsidP="0051609B">
                                  <w:pPr>
                                    <w:spacing w:after="0" w:line="240" w:lineRule="auto"/>
                                    <w:jc w:val="center"/>
                                    <w:rPr>
                                      <w:rFonts w:ascii="Calibri" w:eastAsia="Times New Roman" w:hAnsi="Calibri" w:cs="Arial"/>
                                      <w:b/>
                                      <w:bCs/>
                                      <w:color w:val="000000"/>
                                    </w:rPr>
                                  </w:pPr>
                                  <w:r>
                                    <w:rPr>
                                      <w:rFonts w:ascii="Calibri" w:eastAsia="Times New Roman" w:hAnsi="Calibri" w:cs="Arial"/>
                                      <w:b/>
                                      <w:bCs/>
                                      <w:color w:val="000000"/>
                                    </w:rPr>
                                    <w:t xml:space="preserve">Cumulative </w:t>
                                  </w:r>
                                  <w:r w:rsidR="006B0B87" w:rsidRPr="00AC31AE">
                                    <w:rPr>
                                      <w:rFonts w:ascii="Calibri" w:eastAsia="Times New Roman" w:hAnsi="Calibri" w:cs="Arial"/>
                                      <w:b/>
                                      <w:bCs/>
                                      <w:color w:val="000000"/>
                                    </w:rPr>
                                    <w:t>CPI Forecast</w:t>
                                  </w:r>
                                  <w:r>
                                    <w:rPr>
                                      <w:rFonts w:ascii="Calibri" w:eastAsia="Times New Roman" w:hAnsi="Calibri" w:cs="Arial"/>
                                      <w:b/>
                                      <w:bCs/>
                                      <w:color w:val="000000"/>
                                    </w:rPr>
                                    <w:t xml:space="preserve"> </w:t>
                                  </w:r>
                                  <w:r w:rsidRPr="007D6D9F">
                                    <w:rPr>
                                      <w:rFonts w:ascii="Calibri" w:eastAsia="Times New Roman" w:hAnsi="Calibri" w:cs="Arial"/>
                                      <w:b/>
                                      <w:bCs/>
                                      <w:color w:val="000000"/>
                                      <w:sz w:val="20"/>
                                    </w:rPr>
                                    <w:t>(from 2016)</w:t>
                                  </w:r>
                                </w:p>
                              </w:tc>
                              <w:tc>
                                <w:tcPr>
                                  <w:tcW w:w="1802" w:type="dxa"/>
                                  <w:tcBorders>
                                    <w:top w:val="single" w:sz="4" w:space="0" w:color="00B0F0"/>
                                    <w:left w:val="nil"/>
                                    <w:bottom w:val="single" w:sz="4" w:space="0" w:color="00B0F0"/>
                                    <w:right w:val="single" w:sz="4" w:space="0" w:color="00B0F0"/>
                                  </w:tcBorders>
                                  <w:shd w:val="clear" w:color="auto" w:fill="BFBFBF" w:themeFill="background1" w:themeFillShade="BF"/>
                                  <w:vAlign w:val="center"/>
                                  <w:hideMark/>
                                </w:tcPr>
                                <w:p w14:paraId="6573E09C" w14:textId="77777777" w:rsidR="006B0B87" w:rsidRPr="00AC31AE" w:rsidRDefault="006B0B87" w:rsidP="0051609B">
                                  <w:pPr>
                                    <w:spacing w:after="0" w:line="240" w:lineRule="auto"/>
                                    <w:jc w:val="center"/>
                                    <w:rPr>
                                      <w:rFonts w:ascii="Calibri" w:eastAsia="Times New Roman" w:hAnsi="Calibri" w:cs="Arial"/>
                                      <w:b/>
                                      <w:bCs/>
                                      <w:color w:val="000000"/>
                                    </w:rPr>
                                  </w:pPr>
                                  <w:r w:rsidRPr="00AC31AE">
                                    <w:rPr>
                                      <w:rFonts w:ascii="Calibri" w:eastAsia="Times New Roman" w:hAnsi="Calibri" w:cs="Arial"/>
                                      <w:b/>
                                      <w:bCs/>
                                      <w:color w:val="000000"/>
                                    </w:rPr>
                                    <w:t>Forecast Cost</w:t>
                                  </w:r>
                                </w:p>
                              </w:tc>
                            </w:tr>
                            <w:tr w:rsidR="006B0B87" w:rsidRPr="00AC31AE" w14:paraId="3E671E29"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3122CD02"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2016</w:t>
                                  </w:r>
                                </w:p>
                              </w:tc>
                              <w:tc>
                                <w:tcPr>
                                  <w:tcW w:w="1802" w:type="dxa"/>
                                  <w:tcBorders>
                                    <w:top w:val="nil"/>
                                    <w:left w:val="nil"/>
                                    <w:bottom w:val="single" w:sz="4" w:space="0" w:color="00B0F0"/>
                                    <w:right w:val="single" w:sz="4" w:space="0" w:color="00B0F0"/>
                                  </w:tcBorders>
                                  <w:shd w:val="clear" w:color="000000" w:fill="FFFFFF"/>
                                  <w:noWrap/>
                                  <w:vAlign w:val="center"/>
                                  <w:hideMark/>
                                </w:tcPr>
                                <w:p w14:paraId="1F1F832C" w14:textId="77777777" w:rsidR="006B0B87" w:rsidRPr="00AC31AE" w:rsidRDefault="006B0B87" w:rsidP="00F176E7">
                                  <w:pPr>
                                    <w:spacing w:after="0" w:line="240" w:lineRule="auto"/>
                                    <w:rPr>
                                      <w:rFonts w:ascii="Calibri" w:eastAsia="Times New Roman" w:hAnsi="Calibri" w:cs="Arial"/>
                                      <w:color w:val="000000"/>
                                    </w:rPr>
                                  </w:pPr>
                                  <w:r w:rsidRPr="00AC31AE">
                                    <w:rPr>
                                      <w:rFonts w:ascii="Calibri" w:eastAsia="Times New Roman" w:hAnsi="Calibri" w:cs="Arial"/>
                                      <w:color w:val="000000"/>
                                    </w:rPr>
                                    <w:t> </w:t>
                                  </w:r>
                                  <w:r w:rsidR="003E6A77">
                                    <w:rPr>
                                      <w:rFonts w:ascii="Calibri" w:eastAsia="Times New Roman" w:hAnsi="Calibri" w:cs="Arial"/>
                                      <w:color w:val="000000"/>
                                    </w:rPr>
                                    <w:t xml:space="preserve">        </w:t>
                                  </w:r>
                                  <w:r w:rsidR="00B84EC9">
                                    <w:rPr>
                                      <w:rFonts w:ascii="Calibri" w:eastAsia="Times New Roman" w:hAnsi="Calibri" w:cs="Arial"/>
                                      <w:color w:val="000000"/>
                                    </w:rPr>
                                    <w:t xml:space="preserve">   </w:t>
                                  </w:r>
                                  <w:r w:rsidR="003E6A77">
                                    <w:rPr>
                                      <w:rFonts w:ascii="Calibri" w:eastAsia="Times New Roman" w:hAnsi="Calibri" w:cs="Arial"/>
                                      <w:color w:val="000000"/>
                                    </w:rPr>
                                    <w:t>n/a</w:t>
                                  </w:r>
                                </w:p>
                              </w:tc>
                              <w:tc>
                                <w:tcPr>
                                  <w:tcW w:w="1802" w:type="dxa"/>
                                  <w:tcBorders>
                                    <w:top w:val="nil"/>
                                    <w:left w:val="nil"/>
                                    <w:bottom w:val="single" w:sz="4" w:space="0" w:color="00B0F0"/>
                                    <w:right w:val="single" w:sz="4" w:space="0" w:color="00B0F0"/>
                                  </w:tcBorders>
                                  <w:shd w:val="clear" w:color="000000" w:fill="FFFFFF"/>
                                  <w:noWrap/>
                                  <w:vAlign w:val="center"/>
                                  <w:hideMark/>
                                </w:tcPr>
                                <w:p w14:paraId="16F7E05D" w14:textId="77777777" w:rsidR="006B0B87" w:rsidRPr="00AC31AE" w:rsidRDefault="006B0B87" w:rsidP="0051609B">
                                  <w:pPr>
                                    <w:spacing w:after="0" w:line="240" w:lineRule="auto"/>
                                    <w:jc w:val="center"/>
                                    <w:rPr>
                                      <w:rFonts w:ascii="Calibri" w:eastAsia="Times New Roman" w:hAnsi="Calibri" w:cs="Arial"/>
                                      <w:color w:val="000000"/>
                                    </w:rPr>
                                  </w:pPr>
                                  <w:r w:rsidRPr="00F176E7">
                                    <w:t>£4,136</w:t>
                                  </w:r>
                                </w:p>
                              </w:tc>
                            </w:tr>
                            <w:tr w:rsidR="006B0B87" w:rsidRPr="00AC31AE" w14:paraId="222BF2DE"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14FCE496"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2021</w:t>
                                  </w:r>
                                </w:p>
                              </w:tc>
                              <w:tc>
                                <w:tcPr>
                                  <w:tcW w:w="1802" w:type="dxa"/>
                                  <w:tcBorders>
                                    <w:top w:val="nil"/>
                                    <w:left w:val="nil"/>
                                    <w:bottom w:val="single" w:sz="4" w:space="0" w:color="00B0F0"/>
                                    <w:right w:val="single" w:sz="4" w:space="0" w:color="00B0F0"/>
                                  </w:tcBorders>
                                  <w:shd w:val="clear" w:color="000000" w:fill="FFFFFF"/>
                                  <w:noWrap/>
                                  <w:vAlign w:val="center"/>
                                  <w:hideMark/>
                                </w:tcPr>
                                <w:p w14:paraId="44DA123A" w14:textId="77777777" w:rsidR="006B0B87" w:rsidRPr="00AC31AE" w:rsidRDefault="00F1463F" w:rsidP="0051609B">
                                  <w:pPr>
                                    <w:spacing w:after="0" w:line="240" w:lineRule="auto"/>
                                    <w:jc w:val="center"/>
                                    <w:rPr>
                                      <w:rFonts w:ascii="Calibri" w:eastAsia="Times New Roman" w:hAnsi="Calibri" w:cs="Arial"/>
                                      <w:color w:val="000000"/>
                                    </w:rPr>
                                  </w:pPr>
                                  <w:r w:rsidRPr="007D6D9F">
                                    <w:t>10%</w:t>
                                  </w:r>
                                </w:p>
                              </w:tc>
                              <w:tc>
                                <w:tcPr>
                                  <w:tcW w:w="1802" w:type="dxa"/>
                                  <w:tcBorders>
                                    <w:top w:val="nil"/>
                                    <w:left w:val="nil"/>
                                    <w:bottom w:val="single" w:sz="4" w:space="0" w:color="00B0F0"/>
                                    <w:right w:val="single" w:sz="4" w:space="0" w:color="00B0F0"/>
                                  </w:tcBorders>
                                  <w:shd w:val="clear" w:color="000000" w:fill="FFFFFF"/>
                                  <w:noWrap/>
                                  <w:vAlign w:val="center"/>
                                  <w:hideMark/>
                                </w:tcPr>
                                <w:p w14:paraId="7CFA1CB3" w14:textId="77777777" w:rsidR="006B0B87" w:rsidRPr="00AC31AE" w:rsidRDefault="006B0B87" w:rsidP="0051609B">
                                  <w:pPr>
                                    <w:spacing w:after="0" w:line="240" w:lineRule="auto"/>
                                    <w:jc w:val="center"/>
                                    <w:rPr>
                                      <w:rFonts w:ascii="Calibri" w:eastAsia="Times New Roman" w:hAnsi="Calibri" w:cs="Arial"/>
                                      <w:color w:val="000000"/>
                                    </w:rPr>
                                  </w:pPr>
                                  <w:r w:rsidRPr="00777FEF">
                                    <w:t>£4,544</w:t>
                                  </w:r>
                                </w:p>
                              </w:tc>
                            </w:tr>
                            <w:tr w:rsidR="006B0B87" w:rsidRPr="00AC31AE" w14:paraId="07BE3B64"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0B110199"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2026</w:t>
                                  </w:r>
                                </w:p>
                              </w:tc>
                              <w:tc>
                                <w:tcPr>
                                  <w:tcW w:w="1802" w:type="dxa"/>
                                  <w:tcBorders>
                                    <w:top w:val="nil"/>
                                    <w:left w:val="nil"/>
                                    <w:bottom w:val="single" w:sz="4" w:space="0" w:color="00B0F0"/>
                                    <w:right w:val="single" w:sz="4" w:space="0" w:color="00B0F0"/>
                                  </w:tcBorders>
                                  <w:shd w:val="clear" w:color="000000" w:fill="FFFFFF"/>
                                  <w:noWrap/>
                                  <w:vAlign w:val="center"/>
                                  <w:hideMark/>
                                </w:tcPr>
                                <w:p w14:paraId="267700FB" w14:textId="77777777" w:rsidR="006B0B87" w:rsidRPr="00AC31AE" w:rsidRDefault="00F1463F" w:rsidP="0051609B">
                                  <w:pPr>
                                    <w:spacing w:after="0" w:line="240" w:lineRule="auto"/>
                                    <w:jc w:val="center"/>
                                    <w:rPr>
                                      <w:rFonts w:ascii="Calibri" w:eastAsia="Times New Roman" w:hAnsi="Calibri" w:cs="Arial"/>
                                      <w:color w:val="000000"/>
                                    </w:rPr>
                                  </w:pPr>
                                  <w:r>
                                    <w:t>22%</w:t>
                                  </w:r>
                                </w:p>
                              </w:tc>
                              <w:tc>
                                <w:tcPr>
                                  <w:tcW w:w="1802" w:type="dxa"/>
                                  <w:tcBorders>
                                    <w:top w:val="nil"/>
                                    <w:left w:val="nil"/>
                                    <w:bottom w:val="single" w:sz="4" w:space="0" w:color="00B0F0"/>
                                    <w:right w:val="single" w:sz="4" w:space="0" w:color="00B0F0"/>
                                  </w:tcBorders>
                                  <w:shd w:val="clear" w:color="000000" w:fill="FFFFFF"/>
                                  <w:noWrap/>
                                  <w:vAlign w:val="center"/>
                                  <w:hideMark/>
                                </w:tcPr>
                                <w:p w14:paraId="3E6D7214" w14:textId="77777777" w:rsidR="006B0B87" w:rsidRPr="00AC31AE" w:rsidRDefault="006B0B87" w:rsidP="0051609B">
                                  <w:pPr>
                                    <w:spacing w:after="0" w:line="240" w:lineRule="auto"/>
                                    <w:jc w:val="center"/>
                                    <w:rPr>
                                      <w:rFonts w:ascii="Calibri" w:eastAsia="Times New Roman" w:hAnsi="Calibri" w:cs="Arial"/>
                                      <w:color w:val="000000"/>
                                    </w:rPr>
                                  </w:pPr>
                                  <w:r w:rsidRPr="00777FEF">
                                    <w:t>£5,066</w:t>
                                  </w:r>
                                </w:p>
                              </w:tc>
                            </w:tr>
                          </w:tbl>
                          <w:p w14:paraId="27F921CE" w14:textId="77777777" w:rsidR="006B0B87" w:rsidRPr="008763F0" w:rsidRDefault="006B0B87" w:rsidP="008763F0">
                            <w:pPr>
                              <w:spacing w:line="360" w:lineRule="auto"/>
                              <w:rPr>
                                <w:rFonts w:ascii="Calibri" w:hAnsi="Calibri"/>
                                <w:b/>
                                <w:i/>
                                <w:sz w:val="20"/>
                              </w:rPr>
                            </w:pPr>
                            <w:r w:rsidRPr="00891AB9">
                              <w:rPr>
                                <w:rFonts w:ascii="Calibri" w:hAnsi="Calibri"/>
                                <w:b/>
                                <w:i/>
                                <w:sz w:val="20"/>
                              </w:rPr>
                              <w:t xml:space="preserve">Source: </w:t>
                            </w:r>
                            <w:r>
                              <w:rPr>
                                <w:rFonts w:ascii="Calibri" w:hAnsi="Calibri"/>
                                <w:b/>
                                <w:i/>
                                <w:sz w:val="20"/>
                              </w:rPr>
                              <w:t xml:space="preserve">British Seniors Insurance Agency, </w:t>
                            </w:r>
                            <w:r w:rsidRPr="00891AB9">
                              <w:rPr>
                                <w:rFonts w:ascii="Calibri" w:hAnsi="Calibri"/>
                                <w:b/>
                                <w:i/>
                                <w:sz w:val="20"/>
                              </w:rPr>
                              <w:t>Opinium</w:t>
                            </w:r>
                            <w:r w:rsidR="005C3734">
                              <w:rPr>
                                <w:rFonts w:ascii="Calibri" w:hAnsi="Calibri"/>
                                <w:b/>
                                <w:i/>
                                <w:sz w:val="20"/>
                              </w:rPr>
                              <w:t xml:space="preserve"> </w:t>
                            </w:r>
                            <w:r w:rsidRPr="00891AB9">
                              <w:rPr>
                                <w:rFonts w:ascii="Calibri" w:hAnsi="Calibri"/>
                                <w:b/>
                                <w:i/>
                                <w:sz w:val="20"/>
                              </w:rPr>
                              <w:t xml:space="preserve">Research and </w:t>
                            </w:r>
                            <w:r w:rsidR="00BA59EE" w:rsidRPr="00891AB9">
                              <w:rPr>
                                <w:rFonts w:ascii="Calibri" w:hAnsi="Calibri"/>
                                <w:b/>
                                <w:i/>
                                <w:sz w:val="20"/>
                              </w:rPr>
                              <w:t>OBR Economic Forecasts</w:t>
                            </w:r>
                            <w:r w:rsidR="00BA59EE">
                              <w:rPr>
                                <w:rFonts w:ascii="Calibri" w:hAnsi="Calibri"/>
                                <w:b/>
                                <w:i/>
                                <w:sz w:val="20"/>
                              </w:rPr>
                              <w:t xml:space="preserve"> (15</w:t>
                            </w:r>
                            <w:r w:rsidR="00BA59EE" w:rsidRPr="004D268B">
                              <w:rPr>
                                <w:rFonts w:ascii="Calibri" w:hAnsi="Calibri"/>
                                <w:b/>
                                <w:i/>
                                <w:sz w:val="20"/>
                                <w:vertAlign w:val="superscript"/>
                              </w:rPr>
                              <w:t>th</w:t>
                            </w:r>
                            <w:r w:rsidR="00BA59EE">
                              <w:rPr>
                                <w:rFonts w:ascii="Calibri" w:hAnsi="Calibri"/>
                                <w:b/>
                                <w:i/>
                                <w:sz w:val="20"/>
                              </w:rPr>
                              <w:t xml:space="preserve"> – 18</w:t>
                            </w:r>
                            <w:r w:rsidR="00BA59EE" w:rsidRPr="004D268B">
                              <w:rPr>
                                <w:rFonts w:ascii="Calibri" w:hAnsi="Calibri"/>
                                <w:b/>
                                <w:i/>
                                <w:sz w:val="20"/>
                                <w:vertAlign w:val="superscript"/>
                              </w:rPr>
                              <w:t>th</w:t>
                            </w:r>
                            <w:r w:rsidR="00BA59EE">
                              <w:rPr>
                                <w:rFonts w:ascii="Calibri" w:hAnsi="Calibri"/>
                                <w:b/>
                                <w:i/>
                                <w:sz w:val="20"/>
                              </w:rPr>
                              <w:t xml:space="preserve"> January 2016)</w:t>
                            </w:r>
                            <w:r w:rsidR="00352EFA">
                              <w:rPr>
                                <w:rFonts w:ascii="Calibri" w:hAnsi="Calibri"/>
                                <w:b/>
                                <w:i/>
                                <w:sz w:val="20"/>
                              </w:rPr>
                              <w:t xml:space="preserve">                                                                                   </w:t>
                            </w:r>
                            <w:r w:rsidR="00DF6A15">
                              <w:rPr>
                                <w:rFonts w:ascii="Calibri" w:hAnsi="Calibri"/>
                                <w:b/>
                                <w:i/>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25pt;margin-top:79.05pt;width:447pt;height:17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" fillcolor="white [3201]" strokecolor="white [3212]" strokeweight=".5pt">
                <v:textbox>
                  <w:txbxContent>
                    <w:p w14:paraId="65EBB191" w14:textId="77777777" w:rsidR="006B0B87" w:rsidRPr="006B0B87" w:rsidRDefault="006B0B87" w:rsidP="00F176E7">
                      <w:pPr>
                        <w:tabs>
                          <w:tab w:val="left" w:pos="5340"/>
                        </w:tabs>
                        <w:rPr>
                          <w:rFonts w:ascii="Calibri" w:hAnsi="Calibri"/>
                          <w:b/>
                        </w:rPr>
                      </w:pPr>
                    </w:p>
                    <w:tbl>
                      <w:tblPr>
                        <w:tblW w:w="4975" w:type="dxa"/>
                        <w:tblInd w:w="1930" w:type="dxa"/>
                        <w:tblLook w:val="04A0" w:firstRow="1" w:lastRow="0" w:firstColumn="1" w:lastColumn="0" w:noHBand="0" w:noVBand="1"/>
                      </w:tblPr>
                      <w:tblGrid>
                        <w:gridCol w:w="1371"/>
                        <w:gridCol w:w="1802"/>
                        <w:gridCol w:w="1802"/>
                      </w:tblGrid>
                      <w:tr w:rsidR="006B0B87" w:rsidRPr="00AC31AE" w14:paraId="297CBB1B" w14:textId="77777777" w:rsidTr="005A5651">
                        <w:trPr>
                          <w:trHeight w:val="756"/>
                        </w:trPr>
                        <w:tc>
                          <w:tcPr>
                            <w:tcW w:w="1371" w:type="dxa"/>
                            <w:tcBorders>
                              <w:top w:val="single" w:sz="4" w:space="0" w:color="00B0F0"/>
                              <w:left w:val="single" w:sz="4" w:space="0" w:color="00B0F0"/>
                              <w:bottom w:val="single" w:sz="4" w:space="0" w:color="00B0F0"/>
                              <w:right w:val="single" w:sz="4" w:space="0" w:color="00B0F0"/>
                            </w:tcBorders>
                            <w:shd w:val="clear" w:color="auto" w:fill="BFBFBF" w:themeFill="background1" w:themeFillShade="BF"/>
                            <w:vAlign w:val="center"/>
                            <w:hideMark/>
                          </w:tcPr>
                          <w:p w14:paraId="1E07EA5C" w14:textId="77777777" w:rsidR="006B0B87" w:rsidRPr="00AC31AE" w:rsidRDefault="006B0B87" w:rsidP="0051609B">
                            <w:pPr>
                              <w:spacing w:after="0" w:line="240" w:lineRule="auto"/>
                              <w:jc w:val="center"/>
                              <w:rPr>
                                <w:rFonts w:ascii="Calibri" w:eastAsia="Times New Roman" w:hAnsi="Calibri" w:cs="Arial"/>
                                <w:b/>
                                <w:bCs/>
                                <w:color w:val="000000"/>
                              </w:rPr>
                            </w:pPr>
                            <w:r w:rsidRPr="00AC31AE">
                              <w:rPr>
                                <w:rFonts w:ascii="Calibri" w:eastAsia="Times New Roman" w:hAnsi="Calibri" w:cs="Arial"/>
                                <w:b/>
                                <w:bCs/>
                                <w:color w:val="000000"/>
                              </w:rPr>
                              <w:t>Year</w:t>
                            </w:r>
                          </w:p>
                        </w:tc>
                        <w:tc>
                          <w:tcPr>
                            <w:tcW w:w="1802" w:type="dxa"/>
                            <w:tcBorders>
                              <w:top w:val="single" w:sz="4" w:space="0" w:color="00B0F0"/>
                              <w:left w:val="nil"/>
                              <w:bottom w:val="single" w:sz="4" w:space="0" w:color="00B0F0"/>
                              <w:right w:val="single" w:sz="4" w:space="0" w:color="00B0F0"/>
                            </w:tcBorders>
                            <w:shd w:val="clear" w:color="auto" w:fill="BFBFBF" w:themeFill="background1" w:themeFillShade="BF"/>
                            <w:vAlign w:val="center"/>
                            <w:hideMark/>
                          </w:tcPr>
                          <w:p w14:paraId="30B6875E" w14:textId="77777777" w:rsidR="006B0B87" w:rsidRPr="00AC31AE" w:rsidRDefault="00F1463F" w:rsidP="0051609B">
                            <w:pPr>
                              <w:spacing w:after="0" w:line="240" w:lineRule="auto"/>
                              <w:jc w:val="center"/>
                              <w:rPr>
                                <w:rFonts w:ascii="Calibri" w:eastAsia="Times New Roman" w:hAnsi="Calibri" w:cs="Arial"/>
                                <w:b/>
                                <w:bCs/>
                                <w:color w:val="000000"/>
                              </w:rPr>
                            </w:pPr>
                            <w:r>
                              <w:rPr>
                                <w:rFonts w:ascii="Calibri" w:eastAsia="Times New Roman" w:hAnsi="Calibri" w:cs="Arial"/>
                                <w:b/>
                                <w:bCs/>
                                <w:color w:val="000000"/>
                              </w:rPr>
                              <w:t xml:space="preserve">Cumulative </w:t>
                            </w:r>
                            <w:r w:rsidR="006B0B87" w:rsidRPr="00AC31AE">
                              <w:rPr>
                                <w:rFonts w:ascii="Calibri" w:eastAsia="Times New Roman" w:hAnsi="Calibri" w:cs="Arial"/>
                                <w:b/>
                                <w:bCs/>
                                <w:color w:val="000000"/>
                              </w:rPr>
                              <w:t>CPI Forecast</w:t>
                            </w:r>
                            <w:r>
                              <w:rPr>
                                <w:rFonts w:ascii="Calibri" w:eastAsia="Times New Roman" w:hAnsi="Calibri" w:cs="Arial"/>
                                <w:b/>
                                <w:bCs/>
                                <w:color w:val="000000"/>
                              </w:rPr>
                              <w:t xml:space="preserve"> </w:t>
                            </w:r>
                            <w:r w:rsidRPr="007D6D9F">
                              <w:rPr>
                                <w:rFonts w:ascii="Calibri" w:eastAsia="Times New Roman" w:hAnsi="Calibri" w:cs="Arial"/>
                                <w:b/>
                                <w:bCs/>
                                <w:color w:val="000000"/>
                                <w:sz w:val="20"/>
                              </w:rPr>
                              <w:t>(from 2016)</w:t>
                            </w:r>
                          </w:p>
                        </w:tc>
                        <w:tc>
                          <w:tcPr>
                            <w:tcW w:w="1802" w:type="dxa"/>
                            <w:tcBorders>
                              <w:top w:val="single" w:sz="4" w:space="0" w:color="00B0F0"/>
                              <w:left w:val="nil"/>
                              <w:bottom w:val="single" w:sz="4" w:space="0" w:color="00B0F0"/>
                              <w:right w:val="single" w:sz="4" w:space="0" w:color="00B0F0"/>
                            </w:tcBorders>
                            <w:shd w:val="clear" w:color="auto" w:fill="BFBFBF" w:themeFill="background1" w:themeFillShade="BF"/>
                            <w:vAlign w:val="center"/>
                            <w:hideMark/>
                          </w:tcPr>
                          <w:p w14:paraId="6573E09C" w14:textId="77777777" w:rsidR="006B0B87" w:rsidRPr="00AC31AE" w:rsidRDefault="006B0B87" w:rsidP="0051609B">
                            <w:pPr>
                              <w:spacing w:after="0" w:line="240" w:lineRule="auto"/>
                              <w:jc w:val="center"/>
                              <w:rPr>
                                <w:rFonts w:ascii="Calibri" w:eastAsia="Times New Roman" w:hAnsi="Calibri" w:cs="Arial"/>
                                <w:b/>
                                <w:bCs/>
                                <w:color w:val="000000"/>
                              </w:rPr>
                            </w:pPr>
                            <w:r w:rsidRPr="00AC31AE">
                              <w:rPr>
                                <w:rFonts w:ascii="Calibri" w:eastAsia="Times New Roman" w:hAnsi="Calibri" w:cs="Arial"/>
                                <w:b/>
                                <w:bCs/>
                                <w:color w:val="000000"/>
                              </w:rPr>
                              <w:t>Forecast Cost</w:t>
                            </w:r>
                          </w:p>
                        </w:tc>
                      </w:tr>
                      <w:tr w:rsidR="006B0B87" w:rsidRPr="00AC31AE" w14:paraId="3E671E29"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3122CD02"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2016</w:t>
                            </w:r>
                          </w:p>
                        </w:tc>
                        <w:tc>
                          <w:tcPr>
                            <w:tcW w:w="1802" w:type="dxa"/>
                            <w:tcBorders>
                              <w:top w:val="nil"/>
                              <w:left w:val="nil"/>
                              <w:bottom w:val="single" w:sz="4" w:space="0" w:color="00B0F0"/>
                              <w:right w:val="single" w:sz="4" w:space="0" w:color="00B0F0"/>
                            </w:tcBorders>
                            <w:shd w:val="clear" w:color="000000" w:fill="FFFFFF"/>
                            <w:noWrap/>
                            <w:vAlign w:val="center"/>
                            <w:hideMark/>
                          </w:tcPr>
                          <w:p w14:paraId="1F1F832C" w14:textId="77777777" w:rsidR="006B0B87" w:rsidRPr="00AC31AE" w:rsidRDefault="006B0B87" w:rsidP="00F176E7">
                            <w:pPr>
                              <w:spacing w:after="0" w:line="240" w:lineRule="auto"/>
                              <w:rPr>
                                <w:rFonts w:ascii="Calibri" w:eastAsia="Times New Roman" w:hAnsi="Calibri" w:cs="Arial"/>
                                <w:color w:val="000000"/>
                              </w:rPr>
                            </w:pPr>
                            <w:r w:rsidRPr="00AC31AE">
                              <w:rPr>
                                <w:rFonts w:ascii="Calibri" w:eastAsia="Times New Roman" w:hAnsi="Calibri" w:cs="Arial"/>
                                <w:color w:val="000000"/>
                              </w:rPr>
                              <w:t> </w:t>
                            </w:r>
                            <w:r w:rsidR="003E6A77">
                              <w:rPr>
                                <w:rFonts w:ascii="Calibri" w:eastAsia="Times New Roman" w:hAnsi="Calibri" w:cs="Arial"/>
                                <w:color w:val="000000"/>
                              </w:rPr>
                              <w:t xml:space="preserve">        </w:t>
                            </w:r>
                            <w:r w:rsidR="00B84EC9">
                              <w:rPr>
                                <w:rFonts w:ascii="Calibri" w:eastAsia="Times New Roman" w:hAnsi="Calibri" w:cs="Arial"/>
                                <w:color w:val="000000"/>
                              </w:rPr>
                              <w:t xml:space="preserve">   </w:t>
                            </w:r>
                            <w:r w:rsidR="003E6A77">
                              <w:rPr>
                                <w:rFonts w:ascii="Calibri" w:eastAsia="Times New Roman" w:hAnsi="Calibri" w:cs="Arial"/>
                                <w:color w:val="000000"/>
                              </w:rPr>
                              <w:t>n/a</w:t>
                            </w:r>
                          </w:p>
                        </w:tc>
                        <w:tc>
                          <w:tcPr>
                            <w:tcW w:w="1802" w:type="dxa"/>
                            <w:tcBorders>
                              <w:top w:val="nil"/>
                              <w:left w:val="nil"/>
                              <w:bottom w:val="single" w:sz="4" w:space="0" w:color="00B0F0"/>
                              <w:right w:val="single" w:sz="4" w:space="0" w:color="00B0F0"/>
                            </w:tcBorders>
                            <w:shd w:val="clear" w:color="000000" w:fill="FFFFFF"/>
                            <w:noWrap/>
                            <w:vAlign w:val="center"/>
                            <w:hideMark/>
                          </w:tcPr>
                          <w:p w14:paraId="16F7E05D" w14:textId="77777777" w:rsidR="006B0B87" w:rsidRPr="00AC31AE" w:rsidRDefault="006B0B87" w:rsidP="0051609B">
                            <w:pPr>
                              <w:spacing w:after="0" w:line="240" w:lineRule="auto"/>
                              <w:jc w:val="center"/>
                              <w:rPr>
                                <w:rFonts w:ascii="Calibri" w:eastAsia="Times New Roman" w:hAnsi="Calibri" w:cs="Arial"/>
                                <w:color w:val="000000"/>
                              </w:rPr>
                            </w:pPr>
                            <w:r w:rsidRPr="00F176E7">
                              <w:t>£4,136</w:t>
                            </w:r>
                          </w:p>
                        </w:tc>
                      </w:tr>
                      <w:tr w:rsidR="006B0B87" w:rsidRPr="00AC31AE" w14:paraId="222BF2DE"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14FCE496"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2021</w:t>
                            </w:r>
                          </w:p>
                        </w:tc>
                        <w:tc>
                          <w:tcPr>
                            <w:tcW w:w="1802" w:type="dxa"/>
                            <w:tcBorders>
                              <w:top w:val="nil"/>
                              <w:left w:val="nil"/>
                              <w:bottom w:val="single" w:sz="4" w:space="0" w:color="00B0F0"/>
                              <w:right w:val="single" w:sz="4" w:space="0" w:color="00B0F0"/>
                            </w:tcBorders>
                            <w:shd w:val="clear" w:color="000000" w:fill="FFFFFF"/>
                            <w:noWrap/>
                            <w:vAlign w:val="center"/>
                            <w:hideMark/>
                          </w:tcPr>
                          <w:p w14:paraId="44DA123A" w14:textId="77777777" w:rsidR="006B0B87" w:rsidRPr="00AC31AE" w:rsidRDefault="00F1463F" w:rsidP="0051609B">
                            <w:pPr>
                              <w:spacing w:after="0" w:line="240" w:lineRule="auto"/>
                              <w:jc w:val="center"/>
                              <w:rPr>
                                <w:rFonts w:ascii="Calibri" w:eastAsia="Times New Roman" w:hAnsi="Calibri" w:cs="Arial"/>
                                <w:color w:val="000000"/>
                              </w:rPr>
                            </w:pPr>
                            <w:r w:rsidRPr="007D6D9F">
                              <w:t>10%</w:t>
                            </w:r>
                          </w:p>
                        </w:tc>
                        <w:tc>
                          <w:tcPr>
                            <w:tcW w:w="1802" w:type="dxa"/>
                            <w:tcBorders>
                              <w:top w:val="nil"/>
                              <w:left w:val="nil"/>
                              <w:bottom w:val="single" w:sz="4" w:space="0" w:color="00B0F0"/>
                              <w:right w:val="single" w:sz="4" w:space="0" w:color="00B0F0"/>
                            </w:tcBorders>
                            <w:shd w:val="clear" w:color="000000" w:fill="FFFFFF"/>
                            <w:noWrap/>
                            <w:vAlign w:val="center"/>
                            <w:hideMark/>
                          </w:tcPr>
                          <w:p w14:paraId="7CFA1CB3" w14:textId="77777777" w:rsidR="006B0B87" w:rsidRPr="00AC31AE" w:rsidRDefault="006B0B87" w:rsidP="0051609B">
                            <w:pPr>
                              <w:spacing w:after="0" w:line="240" w:lineRule="auto"/>
                              <w:jc w:val="center"/>
                              <w:rPr>
                                <w:rFonts w:ascii="Calibri" w:eastAsia="Times New Roman" w:hAnsi="Calibri" w:cs="Arial"/>
                                <w:color w:val="000000"/>
                              </w:rPr>
                            </w:pPr>
                            <w:r w:rsidRPr="00777FEF">
                              <w:t>£4,544</w:t>
                            </w:r>
                          </w:p>
                        </w:tc>
                      </w:tr>
                      <w:tr w:rsidR="006B0B87" w:rsidRPr="00AC31AE" w14:paraId="07BE3B64" w14:textId="77777777" w:rsidTr="005A5651">
                        <w:trPr>
                          <w:trHeight w:val="458"/>
                        </w:trPr>
                        <w:tc>
                          <w:tcPr>
                            <w:tcW w:w="1371" w:type="dxa"/>
                            <w:tcBorders>
                              <w:top w:val="nil"/>
                              <w:left w:val="single" w:sz="4" w:space="0" w:color="00B0F0"/>
                              <w:bottom w:val="single" w:sz="4" w:space="0" w:color="00B0F0"/>
                              <w:right w:val="single" w:sz="4" w:space="0" w:color="00B0F0"/>
                            </w:tcBorders>
                            <w:shd w:val="clear" w:color="000000" w:fill="FFFFFF"/>
                            <w:noWrap/>
                            <w:vAlign w:val="center"/>
                            <w:hideMark/>
                          </w:tcPr>
                          <w:p w14:paraId="0B110199" w14:textId="77777777" w:rsidR="006B0B87" w:rsidRPr="00AC31AE" w:rsidRDefault="006B0B87" w:rsidP="0051609B">
                            <w:pPr>
                              <w:spacing w:after="0" w:line="240" w:lineRule="auto"/>
                              <w:jc w:val="center"/>
                              <w:rPr>
                                <w:rFonts w:ascii="Calibri" w:eastAsia="Times New Roman" w:hAnsi="Calibri" w:cs="Arial"/>
                                <w:color w:val="000000"/>
                              </w:rPr>
                            </w:pPr>
                            <w:r w:rsidRPr="00AC31AE">
                              <w:rPr>
                                <w:rFonts w:ascii="Calibri" w:eastAsia="Times New Roman" w:hAnsi="Calibri" w:cs="Arial"/>
                                <w:color w:val="000000"/>
                              </w:rPr>
                              <w:t>2026</w:t>
                            </w:r>
                          </w:p>
                        </w:tc>
                        <w:tc>
                          <w:tcPr>
                            <w:tcW w:w="1802" w:type="dxa"/>
                            <w:tcBorders>
                              <w:top w:val="nil"/>
                              <w:left w:val="nil"/>
                              <w:bottom w:val="single" w:sz="4" w:space="0" w:color="00B0F0"/>
                              <w:right w:val="single" w:sz="4" w:space="0" w:color="00B0F0"/>
                            </w:tcBorders>
                            <w:shd w:val="clear" w:color="000000" w:fill="FFFFFF"/>
                            <w:noWrap/>
                            <w:vAlign w:val="center"/>
                            <w:hideMark/>
                          </w:tcPr>
                          <w:p w14:paraId="267700FB" w14:textId="77777777" w:rsidR="006B0B87" w:rsidRPr="00AC31AE" w:rsidRDefault="00F1463F" w:rsidP="0051609B">
                            <w:pPr>
                              <w:spacing w:after="0" w:line="240" w:lineRule="auto"/>
                              <w:jc w:val="center"/>
                              <w:rPr>
                                <w:rFonts w:ascii="Calibri" w:eastAsia="Times New Roman" w:hAnsi="Calibri" w:cs="Arial"/>
                                <w:color w:val="000000"/>
                              </w:rPr>
                            </w:pPr>
                            <w:r>
                              <w:t>22%</w:t>
                            </w:r>
                          </w:p>
                        </w:tc>
                        <w:tc>
                          <w:tcPr>
                            <w:tcW w:w="1802" w:type="dxa"/>
                            <w:tcBorders>
                              <w:top w:val="nil"/>
                              <w:left w:val="nil"/>
                              <w:bottom w:val="single" w:sz="4" w:space="0" w:color="00B0F0"/>
                              <w:right w:val="single" w:sz="4" w:space="0" w:color="00B0F0"/>
                            </w:tcBorders>
                            <w:shd w:val="clear" w:color="000000" w:fill="FFFFFF"/>
                            <w:noWrap/>
                            <w:vAlign w:val="center"/>
                            <w:hideMark/>
                          </w:tcPr>
                          <w:p w14:paraId="3E6D7214" w14:textId="77777777" w:rsidR="006B0B87" w:rsidRPr="00AC31AE" w:rsidRDefault="006B0B87" w:rsidP="0051609B">
                            <w:pPr>
                              <w:spacing w:after="0" w:line="240" w:lineRule="auto"/>
                              <w:jc w:val="center"/>
                              <w:rPr>
                                <w:rFonts w:ascii="Calibri" w:eastAsia="Times New Roman" w:hAnsi="Calibri" w:cs="Arial"/>
                                <w:color w:val="000000"/>
                              </w:rPr>
                            </w:pPr>
                            <w:r w:rsidRPr="00777FEF">
                              <w:t>£5,066</w:t>
                            </w:r>
                          </w:p>
                        </w:tc>
                      </w:tr>
                    </w:tbl>
                    <w:p w14:paraId="27F921CE" w14:textId="77777777" w:rsidR="006B0B87" w:rsidRPr="008763F0" w:rsidRDefault="006B0B87" w:rsidP="008763F0">
                      <w:pPr>
                        <w:spacing w:line="360" w:lineRule="auto"/>
                        <w:rPr>
                          <w:rFonts w:ascii="Calibri" w:hAnsi="Calibri"/>
                          <w:b/>
                          <w:i/>
                          <w:sz w:val="20"/>
                        </w:rPr>
                      </w:pPr>
                      <w:r w:rsidRPr="00891AB9">
                        <w:rPr>
                          <w:rFonts w:ascii="Calibri" w:hAnsi="Calibri"/>
                          <w:b/>
                          <w:i/>
                          <w:sz w:val="20"/>
                        </w:rPr>
                        <w:t xml:space="preserve">Source: </w:t>
                      </w:r>
                      <w:r>
                        <w:rPr>
                          <w:rFonts w:ascii="Calibri" w:hAnsi="Calibri"/>
                          <w:b/>
                          <w:i/>
                          <w:sz w:val="20"/>
                        </w:rPr>
                        <w:t xml:space="preserve">British Seniors Insurance Agency, </w:t>
                      </w:r>
                      <w:r w:rsidRPr="00891AB9">
                        <w:rPr>
                          <w:rFonts w:ascii="Calibri" w:hAnsi="Calibri"/>
                          <w:b/>
                          <w:i/>
                          <w:sz w:val="20"/>
                        </w:rPr>
                        <w:t>Opinium</w:t>
                      </w:r>
                      <w:r w:rsidR="005C3734">
                        <w:rPr>
                          <w:rFonts w:ascii="Calibri" w:hAnsi="Calibri"/>
                          <w:b/>
                          <w:i/>
                          <w:sz w:val="20"/>
                        </w:rPr>
                        <w:t xml:space="preserve"> </w:t>
                      </w:r>
                      <w:r w:rsidRPr="00891AB9">
                        <w:rPr>
                          <w:rFonts w:ascii="Calibri" w:hAnsi="Calibri"/>
                          <w:b/>
                          <w:i/>
                          <w:sz w:val="20"/>
                        </w:rPr>
                        <w:t xml:space="preserve">Research and </w:t>
                      </w:r>
                      <w:r w:rsidR="00BA59EE" w:rsidRPr="00891AB9">
                        <w:rPr>
                          <w:rFonts w:ascii="Calibri" w:hAnsi="Calibri"/>
                          <w:b/>
                          <w:i/>
                          <w:sz w:val="20"/>
                        </w:rPr>
                        <w:t>OBR Economic Forecasts</w:t>
                      </w:r>
                      <w:r w:rsidR="00BA59EE">
                        <w:rPr>
                          <w:rFonts w:ascii="Calibri" w:hAnsi="Calibri"/>
                          <w:b/>
                          <w:i/>
                          <w:sz w:val="20"/>
                        </w:rPr>
                        <w:t xml:space="preserve"> (15</w:t>
                      </w:r>
                      <w:r w:rsidR="00BA59EE" w:rsidRPr="004D268B">
                        <w:rPr>
                          <w:rFonts w:ascii="Calibri" w:hAnsi="Calibri"/>
                          <w:b/>
                          <w:i/>
                          <w:sz w:val="20"/>
                          <w:vertAlign w:val="superscript"/>
                        </w:rPr>
                        <w:t>th</w:t>
                      </w:r>
                      <w:r w:rsidR="00BA59EE">
                        <w:rPr>
                          <w:rFonts w:ascii="Calibri" w:hAnsi="Calibri"/>
                          <w:b/>
                          <w:i/>
                          <w:sz w:val="20"/>
                        </w:rPr>
                        <w:t xml:space="preserve"> – 18</w:t>
                      </w:r>
                      <w:r w:rsidR="00BA59EE" w:rsidRPr="004D268B">
                        <w:rPr>
                          <w:rFonts w:ascii="Calibri" w:hAnsi="Calibri"/>
                          <w:b/>
                          <w:i/>
                          <w:sz w:val="20"/>
                          <w:vertAlign w:val="superscript"/>
                        </w:rPr>
                        <w:t>th</w:t>
                      </w:r>
                      <w:r w:rsidR="00BA59EE">
                        <w:rPr>
                          <w:rFonts w:ascii="Calibri" w:hAnsi="Calibri"/>
                          <w:b/>
                          <w:i/>
                          <w:sz w:val="20"/>
                        </w:rPr>
                        <w:t xml:space="preserve"> January 2016)</w:t>
                      </w:r>
                      <w:r w:rsidR="00352EFA">
                        <w:rPr>
                          <w:rFonts w:ascii="Calibri" w:hAnsi="Calibri"/>
                          <w:b/>
                          <w:i/>
                          <w:sz w:val="20"/>
                        </w:rPr>
                        <w:t xml:space="preserve">                                                                                   </w:t>
                      </w:r>
                      <w:r w:rsidR="00DF6A15">
                        <w:rPr>
                          <w:rFonts w:ascii="Calibri" w:hAnsi="Calibri"/>
                          <w:b/>
                          <w:i/>
                          <w:sz w:val="20"/>
                        </w:rPr>
                        <w:t xml:space="preserve">                     </w:t>
                      </w:r>
                    </w:p>
                  </w:txbxContent>
                </v:textbox>
                <w10:wrap anchorx="margin"/>
              </v:shape>
            </w:pict>
          </mc:Fallback>
        </mc:AlternateContent>
      </w:r>
      <w:r w:rsidR="00D976D6">
        <w:t>British Seniors Insurance Agency looked at the average funeral cost over the next ten years using</w:t>
      </w:r>
      <w:r w:rsidR="005A36FC">
        <w:t xml:space="preserve"> </w:t>
      </w:r>
      <w:r w:rsidR="0031545A">
        <w:t xml:space="preserve">calculations </w:t>
      </w:r>
      <w:r w:rsidR="005A36FC">
        <w:t>based on</w:t>
      </w:r>
      <w:r w:rsidR="00CB4B67">
        <w:t xml:space="preserve"> the</w:t>
      </w:r>
      <w:r w:rsidR="005A36FC">
        <w:t xml:space="preserve"> forecast CPI</w:t>
      </w:r>
      <w:r w:rsidR="00FF5C4A">
        <w:t xml:space="preserve">. </w:t>
      </w:r>
      <w:r w:rsidR="00304137">
        <w:t xml:space="preserve">The </w:t>
      </w:r>
      <w:r w:rsidR="00953C92">
        <w:t>costs of funerals are</w:t>
      </w:r>
      <w:r w:rsidR="005F2059">
        <w:t xml:space="preserve"> set to go</w:t>
      </w:r>
      <w:r w:rsidR="00AC31AE">
        <w:t xml:space="preserve"> up by </w:t>
      </w:r>
      <w:r w:rsidR="005A36FC">
        <w:t>22</w:t>
      </w:r>
      <w:r w:rsidR="005F2059">
        <w:t>% (to £</w:t>
      </w:r>
      <w:r w:rsidR="00AC31AE">
        <w:t>5,066</w:t>
      </w:r>
      <w:r w:rsidR="005F2059">
        <w:t xml:space="preserve"> from £4,136 this year) </w:t>
      </w:r>
      <w:r w:rsidR="005A36FC">
        <w:t>by</w:t>
      </w:r>
      <w:r w:rsidR="00371E88">
        <w:t xml:space="preserve"> 20</w:t>
      </w:r>
      <w:r w:rsidR="00AC31AE">
        <w:t>26</w:t>
      </w:r>
      <w:r w:rsidR="009D0986">
        <w:t xml:space="preserve"> as</w:t>
      </w:r>
      <w:r w:rsidR="005A36FC">
        <w:t xml:space="preserve"> </w:t>
      </w:r>
      <w:r w:rsidR="00485B13">
        <w:t xml:space="preserve">they </w:t>
      </w:r>
      <w:r w:rsidR="005A36FC">
        <w:t>rise in line with inflation</w:t>
      </w:r>
      <w:r w:rsidR="00AC31AE">
        <w:t xml:space="preserve">. </w:t>
      </w:r>
    </w:p>
    <w:p w14:paraId="70784F2E" w14:textId="77777777" w:rsidR="00482843" w:rsidRDefault="00482843" w:rsidP="00FF5C4A">
      <w:pPr>
        <w:spacing w:line="360" w:lineRule="auto"/>
        <w:jc w:val="both"/>
        <w:rPr>
          <w:b/>
        </w:rPr>
      </w:pPr>
    </w:p>
    <w:p w14:paraId="528284BB" w14:textId="77777777" w:rsidR="00482843" w:rsidRDefault="00482843" w:rsidP="00FF5C4A">
      <w:pPr>
        <w:spacing w:line="360" w:lineRule="auto"/>
        <w:jc w:val="both"/>
        <w:rPr>
          <w:b/>
        </w:rPr>
      </w:pPr>
    </w:p>
    <w:p w14:paraId="742ADEDC" w14:textId="77777777" w:rsidR="00482843" w:rsidRDefault="00482843" w:rsidP="00FF5C4A">
      <w:pPr>
        <w:spacing w:line="360" w:lineRule="auto"/>
        <w:jc w:val="both"/>
        <w:rPr>
          <w:b/>
        </w:rPr>
      </w:pPr>
    </w:p>
    <w:p w14:paraId="2BB49176" w14:textId="77777777" w:rsidR="00482843" w:rsidRDefault="00482843" w:rsidP="00FF5C4A">
      <w:pPr>
        <w:spacing w:line="360" w:lineRule="auto"/>
        <w:jc w:val="both"/>
        <w:rPr>
          <w:b/>
        </w:rPr>
      </w:pPr>
    </w:p>
    <w:p w14:paraId="493D394D" w14:textId="77777777" w:rsidR="00482843" w:rsidRDefault="00482843" w:rsidP="00FF5C4A">
      <w:pPr>
        <w:spacing w:line="360" w:lineRule="auto"/>
        <w:jc w:val="both"/>
        <w:rPr>
          <w:b/>
        </w:rPr>
      </w:pPr>
    </w:p>
    <w:p w14:paraId="4CCC2C38" w14:textId="77777777" w:rsidR="00482843" w:rsidRDefault="00482843" w:rsidP="00FF5C4A">
      <w:pPr>
        <w:spacing w:line="360" w:lineRule="auto"/>
        <w:jc w:val="both"/>
        <w:rPr>
          <w:b/>
        </w:rPr>
      </w:pPr>
    </w:p>
    <w:p w14:paraId="27AA2528" w14:textId="77777777" w:rsidR="002E14CB" w:rsidRPr="006B0B87" w:rsidRDefault="006F7894" w:rsidP="00366597">
      <w:pPr>
        <w:tabs>
          <w:tab w:val="left" w:pos="5340"/>
        </w:tabs>
        <w:spacing w:line="360" w:lineRule="auto"/>
        <w:rPr>
          <w:rFonts w:ascii="Calibri" w:hAnsi="Calibri"/>
          <w:b/>
          <w:i/>
          <w:sz w:val="20"/>
        </w:rPr>
      </w:pPr>
      <w:r w:rsidRPr="005B1771">
        <w:rPr>
          <w:b/>
        </w:rPr>
        <w:t>Dave Sutherland</w:t>
      </w:r>
      <w:r w:rsidR="005C665A" w:rsidRPr="005B1771">
        <w:rPr>
          <w:b/>
        </w:rPr>
        <w:t>, Managing Director</w:t>
      </w:r>
      <w:r w:rsidR="00D9265A" w:rsidRPr="005B1771">
        <w:rPr>
          <w:b/>
        </w:rPr>
        <w:t xml:space="preserve"> </w:t>
      </w:r>
      <w:r w:rsidR="00167DEA" w:rsidRPr="005B1771">
        <w:rPr>
          <w:b/>
        </w:rPr>
        <w:t xml:space="preserve">of </w:t>
      </w:r>
      <w:r w:rsidR="00D579D0" w:rsidRPr="005B1771">
        <w:rPr>
          <w:b/>
        </w:rPr>
        <w:t xml:space="preserve">Neilson Financial Services </w:t>
      </w:r>
      <w:r w:rsidR="00C73C16" w:rsidRPr="005B1771">
        <w:rPr>
          <w:b/>
        </w:rPr>
        <w:t xml:space="preserve">commented: </w:t>
      </w:r>
      <w:r w:rsidR="00C42E4D" w:rsidRPr="005B1771">
        <w:rPr>
          <w:i/>
        </w:rPr>
        <w:t>“</w:t>
      </w:r>
      <w:r w:rsidR="00641A13">
        <w:rPr>
          <w:i/>
        </w:rPr>
        <w:t>The emotional impact</w:t>
      </w:r>
      <w:r w:rsidR="00C42E4D" w:rsidRPr="00C42E4D">
        <w:rPr>
          <w:i/>
        </w:rPr>
        <w:t xml:space="preserve"> of losing a loved one is devastating </w:t>
      </w:r>
      <w:r w:rsidR="00D4055E">
        <w:rPr>
          <w:i/>
        </w:rPr>
        <w:t xml:space="preserve">and it is </w:t>
      </w:r>
      <w:r w:rsidR="00EE7711">
        <w:rPr>
          <w:i/>
        </w:rPr>
        <w:t xml:space="preserve">only </w:t>
      </w:r>
      <w:r w:rsidR="00D4055E" w:rsidRPr="00D4055E">
        <w:rPr>
          <w:i/>
        </w:rPr>
        <w:t xml:space="preserve">exacerbated </w:t>
      </w:r>
      <w:r w:rsidR="00D4055E" w:rsidRPr="00C42E4D">
        <w:rPr>
          <w:i/>
        </w:rPr>
        <w:t>when</w:t>
      </w:r>
      <w:r w:rsidR="00C42E4D" w:rsidRPr="00C42E4D">
        <w:rPr>
          <w:i/>
        </w:rPr>
        <w:t xml:space="preserve"> a family member </w:t>
      </w:r>
      <w:r w:rsidR="00C42E4D">
        <w:rPr>
          <w:i/>
        </w:rPr>
        <w:t>or friend</w:t>
      </w:r>
      <w:r w:rsidR="00C42E4D" w:rsidRPr="00C42E4D">
        <w:rPr>
          <w:i/>
        </w:rPr>
        <w:t xml:space="preserve"> has to deal with not only managing the affairs but also </w:t>
      </w:r>
      <w:r w:rsidR="00EE7711">
        <w:rPr>
          <w:i/>
        </w:rPr>
        <w:t xml:space="preserve">having </w:t>
      </w:r>
      <w:r w:rsidR="00D4055E">
        <w:rPr>
          <w:i/>
        </w:rPr>
        <w:t>to pay the</w:t>
      </w:r>
      <w:r w:rsidR="00C42E4D" w:rsidRPr="00C42E4D">
        <w:rPr>
          <w:i/>
        </w:rPr>
        <w:t xml:space="preserve"> funeral costs.  </w:t>
      </w:r>
      <w:r w:rsidR="00D4055E">
        <w:rPr>
          <w:i/>
        </w:rPr>
        <w:t>O</w:t>
      </w:r>
      <w:r w:rsidR="00C42E4D">
        <w:rPr>
          <w:i/>
        </w:rPr>
        <w:t>u</w:t>
      </w:r>
      <w:r w:rsidR="00E1352D">
        <w:rPr>
          <w:i/>
        </w:rPr>
        <w:t xml:space="preserve">r research reveals that many, particularly the younger generation, </w:t>
      </w:r>
      <w:r w:rsidR="00D4055E">
        <w:rPr>
          <w:i/>
        </w:rPr>
        <w:t>have</w:t>
      </w:r>
      <w:r w:rsidR="00C42E4D">
        <w:rPr>
          <w:i/>
        </w:rPr>
        <w:t xml:space="preserve"> to resort to forms of credit </w:t>
      </w:r>
      <w:r w:rsidR="00EE7711">
        <w:rPr>
          <w:i/>
        </w:rPr>
        <w:t>resulting in their grief being</w:t>
      </w:r>
      <w:r w:rsidR="00D4055E">
        <w:rPr>
          <w:i/>
        </w:rPr>
        <w:t xml:space="preserve"> </w:t>
      </w:r>
      <w:r w:rsidR="00164FA7">
        <w:rPr>
          <w:i/>
        </w:rPr>
        <w:t xml:space="preserve">made worse </w:t>
      </w:r>
      <w:r w:rsidR="00D4055E">
        <w:rPr>
          <w:i/>
        </w:rPr>
        <w:t xml:space="preserve">at </w:t>
      </w:r>
      <w:r w:rsidR="00CB4B67">
        <w:rPr>
          <w:i/>
        </w:rPr>
        <w:t xml:space="preserve">what is </w:t>
      </w:r>
      <w:r w:rsidR="00D4055E">
        <w:rPr>
          <w:i/>
        </w:rPr>
        <w:t xml:space="preserve">already </w:t>
      </w:r>
      <w:r w:rsidR="00CB4B67">
        <w:rPr>
          <w:i/>
        </w:rPr>
        <w:t xml:space="preserve">a </w:t>
      </w:r>
      <w:r w:rsidR="00D4055E">
        <w:rPr>
          <w:i/>
        </w:rPr>
        <w:t>difficult time.</w:t>
      </w:r>
      <w:r w:rsidR="00CF4874">
        <w:rPr>
          <w:i/>
        </w:rPr>
        <w:t xml:space="preserve">’’ </w:t>
      </w:r>
    </w:p>
    <w:p w14:paraId="45603E35" w14:textId="5E9F618C" w:rsidR="00FC12E4" w:rsidRPr="00FC12E4" w:rsidRDefault="00164FA7" w:rsidP="004C46B0">
      <w:pPr>
        <w:spacing w:line="360" w:lineRule="auto"/>
        <w:rPr>
          <w:rFonts w:ascii="Arial" w:hAnsi="Arial" w:cs="Arial"/>
          <w:b/>
        </w:rPr>
      </w:pPr>
      <w:r>
        <w:rPr>
          <w:i/>
        </w:rPr>
        <w:t>“</w:t>
      </w:r>
      <w:r w:rsidR="00FC12E4" w:rsidRPr="00FC12E4">
        <w:rPr>
          <w:i/>
        </w:rPr>
        <w:t>At British Seniors Insurance Agency, our focus is on our customers and doing the right thing by them</w:t>
      </w:r>
      <w:r w:rsidR="002B39D1">
        <w:rPr>
          <w:i/>
        </w:rPr>
        <w:t xml:space="preserve">. </w:t>
      </w:r>
      <w:r w:rsidR="00B31D0A">
        <w:rPr>
          <w:i/>
        </w:rPr>
        <w:t>Our customers tell us the last thing they want when they die is for their loved ones to be left in debt paying off their funeral.</w:t>
      </w:r>
      <w:r w:rsidR="00120ECC">
        <w:rPr>
          <w:i/>
        </w:rPr>
        <w:t xml:space="preserve"> </w:t>
      </w:r>
      <w:r w:rsidR="002B39D1">
        <w:rPr>
          <w:i/>
        </w:rPr>
        <w:t>That’s why</w:t>
      </w:r>
      <w:r w:rsidR="008C6998">
        <w:rPr>
          <w:i/>
        </w:rPr>
        <w:t xml:space="preserve"> at </w:t>
      </w:r>
      <w:r w:rsidR="00585D2B">
        <w:rPr>
          <w:i/>
        </w:rPr>
        <w:t>British Seniors Insurance Agency we</w:t>
      </w:r>
      <w:r w:rsidR="004C46B0">
        <w:rPr>
          <w:i/>
        </w:rPr>
        <w:t xml:space="preserve"> </w:t>
      </w:r>
      <w:r w:rsidR="0057336F">
        <w:rPr>
          <w:i/>
        </w:rPr>
        <w:t xml:space="preserve">offer </w:t>
      </w:r>
      <w:r w:rsidR="005C6F1C">
        <w:rPr>
          <w:i/>
        </w:rPr>
        <w:t xml:space="preserve">great value and fully flexible </w:t>
      </w:r>
      <w:r w:rsidR="0057336F">
        <w:rPr>
          <w:i/>
        </w:rPr>
        <w:t xml:space="preserve">Over 50s life cover </w:t>
      </w:r>
      <w:r w:rsidR="005C6F1C">
        <w:rPr>
          <w:i/>
        </w:rPr>
        <w:t xml:space="preserve">– and </w:t>
      </w:r>
      <w:r w:rsidR="0057336F">
        <w:rPr>
          <w:i/>
        </w:rPr>
        <w:t xml:space="preserve">with the new </w:t>
      </w:r>
      <w:r w:rsidR="0077363E">
        <w:rPr>
          <w:i/>
        </w:rPr>
        <w:t xml:space="preserve">Lifetime Payback Guarantee </w:t>
      </w:r>
      <w:r w:rsidR="005C6F1C">
        <w:rPr>
          <w:i/>
        </w:rPr>
        <w:t>we</w:t>
      </w:r>
      <w:r w:rsidR="0057336F">
        <w:rPr>
          <w:i/>
        </w:rPr>
        <w:t xml:space="preserve"> </w:t>
      </w:r>
      <w:r w:rsidR="0077363E" w:rsidRPr="0077363E">
        <w:t>ensur</w:t>
      </w:r>
      <w:r w:rsidR="0057336F">
        <w:t>e</w:t>
      </w:r>
      <w:r w:rsidR="0077363E" w:rsidRPr="0077363E">
        <w:rPr>
          <w:i/>
        </w:rPr>
        <w:t xml:space="preserve"> customers </w:t>
      </w:r>
      <w:r w:rsidR="00487C08">
        <w:rPr>
          <w:i/>
        </w:rPr>
        <w:t xml:space="preserve">get </w:t>
      </w:r>
      <w:r w:rsidR="001D0F98">
        <w:rPr>
          <w:i/>
        </w:rPr>
        <w:t>full value for their hard-earned cash</w:t>
      </w:r>
      <w:r w:rsidR="005C6F1C">
        <w:rPr>
          <w:i/>
        </w:rPr>
        <w:t xml:space="preserve"> as they will never get back less that they’ve paid in</w:t>
      </w:r>
      <w:r w:rsidR="0077363E">
        <w:rPr>
          <w:i/>
        </w:rPr>
        <w:t xml:space="preserve">. We </w:t>
      </w:r>
      <w:r w:rsidR="00C42E4D">
        <w:rPr>
          <w:i/>
        </w:rPr>
        <w:t xml:space="preserve">want to encourage people to make sure </w:t>
      </w:r>
      <w:r w:rsidR="00E239AA">
        <w:rPr>
          <w:i/>
        </w:rPr>
        <w:t xml:space="preserve">that </w:t>
      </w:r>
      <w:r w:rsidR="00C42E4D">
        <w:rPr>
          <w:i/>
        </w:rPr>
        <w:t xml:space="preserve">they have some form of life </w:t>
      </w:r>
      <w:r w:rsidR="00E239AA">
        <w:rPr>
          <w:i/>
        </w:rPr>
        <w:t xml:space="preserve">insurance </w:t>
      </w:r>
      <w:r w:rsidR="00C42E4D">
        <w:rPr>
          <w:i/>
        </w:rPr>
        <w:t xml:space="preserve">or cover in place so as to provide </w:t>
      </w:r>
      <w:r w:rsidR="00C42E4D" w:rsidRPr="00C42E4D">
        <w:rPr>
          <w:i/>
        </w:rPr>
        <w:t xml:space="preserve">peace of mind that when the </w:t>
      </w:r>
      <w:r w:rsidR="00E239AA">
        <w:rPr>
          <w:i/>
        </w:rPr>
        <w:t xml:space="preserve">inevitable </w:t>
      </w:r>
      <w:r w:rsidR="00C42E4D" w:rsidRPr="00C42E4D">
        <w:rPr>
          <w:i/>
        </w:rPr>
        <w:t>happens they’ve got it covered</w:t>
      </w:r>
      <w:r w:rsidR="00E239AA">
        <w:rPr>
          <w:i/>
        </w:rPr>
        <w:t xml:space="preserve"> for their loved ones</w:t>
      </w:r>
      <w:r w:rsidR="00C42E4D" w:rsidRPr="00C42E4D">
        <w:rPr>
          <w:i/>
        </w:rPr>
        <w:t>.</w:t>
      </w:r>
      <w:r w:rsidR="00FC12E4" w:rsidRPr="00FC12E4">
        <w:rPr>
          <w:i/>
        </w:rPr>
        <w:t>’</w:t>
      </w:r>
      <w:r w:rsidR="00B96166">
        <w:rPr>
          <w:i/>
        </w:rPr>
        <w:t>’</w:t>
      </w:r>
      <w:r w:rsidR="00585D2B">
        <w:rPr>
          <w:i/>
        </w:rPr>
        <w:t xml:space="preserve"> </w:t>
      </w:r>
    </w:p>
    <w:p w14:paraId="183F4675" w14:textId="77777777" w:rsidR="00104A89" w:rsidRDefault="00104A89" w:rsidP="00167DEA">
      <w:pPr>
        <w:rPr>
          <w:rFonts w:ascii="Arial" w:hAnsi="Arial" w:cs="Arial"/>
          <w:b/>
          <w:sz w:val="18"/>
          <w:szCs w:val="18"/>
        </w:rPr>
      </w:pPr>
    </w:p>
    <w:p w14:paraId="4E7EA9C1" w14:textId="77777777" w:rsidR="00104A89" w:rsidRDefault="00104A89" w:rsidP="00104A89">
      <w:pPr>
        <w:jc w:val="center"/>
        <w:rPr>
          <w:rFonts w:ascii="Arial" w:hAnsi="Arial" w:cs="Arial"/>
          <w:b/>
          <w:sz w:val="18"/>
          <w:szCs w:val="18"/>
        </w:rPr>
      </w:pPr>
      <w:r>
        <w:rPr>
          <w:rFonts w:ascii="Arial" w:hAnsi="Arial" w:cs="Arial"/>
          <w:b/>
          <w:sz w:val="18"/>
          <w:szCs w:val="18"/>
        </w:rPr>
        <w:t>ENDS</w:t>
      </w:r>
    </w:p>
    <w:p w14:paraId="6C43343E" w14:textId="77777777" w:rsidR="00352EFA" w:rsidRDefault="00352EFA" w:rsidP="00167DEA">
      <w:pPr>
        <w:rPr>
          <w:rFonts w:ascii="Arial" w:hAnsi="Arial" w:cs="Arial"/>
          <w:b/>
          <w:sz w:val="18"/>
          <w:szCs w:val="18"/>
        </w:rPr>
      </w:pPr>
    </w:p>
    <w:p w14:paraId="5D244B40" w14:textId="77777777" w:rsidR="00167DEA" w:rsidRPr="005A7A87" w:rsidRDefault="00167DEA" w:rsidP="00167DEA">
      <w:pPr>
        <w:rPr>
          <w:rFonts w:ascii="Arial" w:hAnsi="Arial" w:cs="Arial"/>
          <w:b/>
          <w:sz w:val="18"/>
          <w:szCs w:val="18"/>
        </w:rPr>
      </w:pPr>
      <w:r w:rsidRPr="005A7A87">
        <w:rPr>
          <w:rFonts w:ascii="Arial" w:hAnsi="Arial" w:cs="Arial"/>
          <w:b/>
          <w:sz w:val="18"/>
          <w:szCs w:val="18"/>
        </w:rPr>
        <w:t>For more information please contact:</w:t>
      </w:r>
    </w:p>
    <w:p w14:paraId="5467B170" w14:textId="2E7DDD97" w:rsidR="00167DEA" w:rsidRPr="005A7A87" w:rsidRDefault="007D6D9F" w:rsidP="00167DEA">
      <w:pPr>
        <w:spacing w:line="240" w:lineRule="exact"/>
        <w:rPr>
          <w:rFonts w:ascii="Arial" w:hAnsi="Arial" w:cs="Arial"/>
          <w:sz w:val="18"/>
          <w:szCs w:val="18"/>
        </w:rPr>
      </w:pPr>
      <w:r>
        <w:rPr>
          <w:rFonts w:ascii="Arial" w:hAnsi="Arial" w:cs="Arial"/>
          <w:sz w:val="18"/>
          <w:szCs w:val="18"/>
        </w:rPr>
        <w:t xml:space="preserve">Annabel Rivero                                                </w:t>
      </w:r>
    </w:p>
    <w:p w14:paraId="290EF1B3" w14:textId="77777777" w:rsidR="00167DEA" w:rsidRPr="005A7A87" w:rsidRDefault="00167DEA" w:rsidP="00167DEA">
      <w:pPr>
        <w:spacing w:line="240" w:lineRule="exact"/>
        <w:rPr>
          <w:rFonts w:ascii="Arial" w:hAnsi="Arial" w:cs="Arial"/>
          <w:sz w:val="18"/>
          <w:szCs w:val="18"/>
        </w:rPr>
      </w:pPr>
      <w:r w:rsidRPr="005A7A87">
        <w:rPr>
          <w:rFonts w:ascii="Arial" w:hAnsi="Arial" w:cs="Arial"/>
          <w:sz w:val="18"/>
          <w:szCs w:val="18"/>
        </w:rPr>
        <w:t>Lansons</w:t>
      </w:r>
      <w:r w:rsidR="007D6D9F">
        <w:rPr>
          <w:rFonts w:ascii="Arial" w:hAnsi="Arial" w:cs="Arial"/>
          <w:sz w:val="18"/>
          <w:szCs w:val="18"/>
        </w:rPr>
        <w:t xml:space="preserve">                                                                 </w:t>
      </w:r>
    </w:p>
    <w:p w14:paraId="3D5B3BF7" w14:textId="2DAAB23D" w:rsidR="00167DEA" w:rsidRPr="005A7A87" w:rsidRDefault="007D6D9F" w:rsidP="00167DEA">
      <w:pPr>
        <w:spacing w:line="240" w:lineRule="exact"/>
        <w:rPr>
          <w:rFonts w:ascii="Arial" w:hAnsi="Arial" w:cs="Arial"/>
          <w:sz w:val="18"/>
          <w:szCs w:val="18"/>
        </w:rPr>
      </w:pPr>
      <w:r w:rsidRPr="007D6D9F">
        <w:rPr>
          <w:rFonts w:ascii="Arial" w:hAnsi="Arial" w:cs="Arial"/>
          <w:sz w:val="18"/>
          <w:szCs w:val="18"/>
        </w:rPr>
        <w:t>020 7294 3610</w:t>
      </w:r>
    </w:p>
    <w:p w14:paraId="701847B2" w14:textId="08849379" w:rsidR="007D6D9F" w:rsidRPr="0006618D" w:rsidRDefault="005D2D61" w:rsidP="007D6D9F">
      <w:pPr>
        <w:spacing w:line="240" w:lineRule="exact"/>
        <w:rPr>
          <w:rFonts w:ascii="Arial" w:hAnsi="Arial" w:cs="Arial"/>
          <w:sz w:val="18"/>
          <w:szCs w:val="18"/>
        </w:rPr>
      </w:pPr>
      <w:hyperlink r:id="rId9" w:history="1">
        <w:r w:rsidR="007D6D9F" w:rsidRPr="0072466F">
          <w:rPr>
            <w:rStyle w:val="Hyperlink"/>
            <w:rFonts w:ascii="Arial" w:hAnsi="Arial" w:cs="Arial"/>
            <w:sz w:val="18"/>
            <w:szCs w:val="18"/>
          </w:rPr>
          <w:t>Annabelr@lansons.com</w:t>
        </w:r>
      </w:hyperlink>
      <w:r w:rsidR="007D6D9F">
        <w:rPr>
          <w:rFonts w:ascii="Arial" w:hAnsi="Arial" w:cs="Arial"/>
          <w:sz w:val="18"/>
          <w:szCs w:val="18"/>
        </w:rPr>
        <w:t xml:space="preserve"> </w:t>
      </w:r>
    </w:p>
    <w:p w14:paraId="6E83771D" w14:textId="77777777" w:rsidR="00485B13" w:rsidRDefault="007D6D9F" w:rsidP="00167DEA">
      <w:pPr>
        <w:spacing w:line="240" w:lineRule="exact"/>
        <w:rPr>
          <w:rFonts w:ascii="Arial" w:hAnsi="Arial" w:cs="Arial"/>
          <w:sz w:val="18"/>
          <w:szCs w:val="18"/>
        </w:rPr>
      </w:pPr>
      <w:r>
        <w:rPr>
          <w:rFonts w:ascii="Arial" w:hAnsi="Arial" w:cs="Arial"/>
          <w:sz w:val="18"/>
          <w:szCs w:val="18"/>
        </w:rPr>
        <w:t xml:space="preserve"> </w:t>
      </w:r>
    </w:p>
    <w:p w14:paraId="447D92B0" w14:textId="77777777" w:rsidR="00B62CD5" w:rsidRPr="00231366" w:rsidRDefault="008A2FCF" w:rsidP="00167DEA">
      <w:pPr>
        <w:spacing w:line="240" w:lineRule="exact"/>
        <w:rPr>
          <w:rFonts w:ascii="Arial" w:hAnsi="Arial" w:cs="Arial"/>
          <w:b/>
          <w:sz w:val="18"/>
          <w:szCs w:val="18"/>
        </w:rPr>
      </w:pPr>
      <w:r w:rsidRPr="00231366">
        <w:rPr>
          <w:rFonts w:ascii="Arial" w:hAnsi="Arial" w:cs="Arial"/>
          <w:b/>
          <w:sz w:val="18"/>
          <w:szCs w:val="18"/>
        </w:rPr>
        <w:t>Notes to Editors</w:t>
      </w:r>
    </w:p>
    <w:p w14:paraId="20714D38" w14:textId="77777777" w:rsidR="00641A13" w:rsidRPr="00231366" w:rsidRDefault="00641A13" w:rsidP="00167DEA">
      <w:pPr>
        <w:spacing w:line="240" w:lineRule="exact"/>
        <w:rPr>
          <w:rFonts w:ascii="Arial" w:hAnsi="Arial" w:cs="Arial"/>
          <w:b/>
          <w:sz w:val="18"/>
          <w:szCs w:val="18"/>
        </w:rPr>
      </w:pPr>
      <w:r w:rsidRPr="00231366">
        <w:rPr>
          <w:rFonts w:ascii="Arial" w:hAnsi="Arial" w:cs="Arial"/>
          <w:sz w:val="18"/>
          <w:szCs w:val="18"/>
        </w:rPr>
        <w:t>Research carried out by Opinium Research between</w:t>
      </w:r>
      <w:r w:rsidR="004F697A" w:rsidRPr="00231366">
        <w:rPr>
          <w:rFonts w:ascii="Arial" w:hAnsi="Arial" w:cs="Arial"/>
          <w:b/>
          <w:sz w:val="18"/>
          <w:szCs w:val="18"/>
        </w:rPr>
        <w:t xml:space="preserve"> </w:t>
      </w:r>
      <w:r w:rsidR="0031545A" w:rsidRPr="00231366">
        <w:rPr>
          <w:rFonts w:ascii="Arial" w:hAnsi="Arial" w:cs="Arial"/>
          <w:b/>
          <w:sz w:val="18"/>
          <w:szCs w:val="18"/>
        </w:rPr>
        <w:t>15</w:t>
      </w:r>
      <w:r w:rsidR="0031545A" w:rsidRPr="00231366">
        <w:rPr>
          <w:rFonts w:ascii="Arial" w:hAnsi="Arial" w:cs="Arial"/>
          <w:b/>
          <w:sz w:val="18"/>
          <w:szCs w:val="18"/>
          <w:vertAlign w:val="superscript"/>
        </w:rPr>
        <w:t>th</w:t>
      </w:r>
      <w:r w:rsidR="0031545A" w:rsidRPr="00231366">
        <w:rPr>
          <w:rFonts w:ascii="Arial" w:hAnsi="Arial" w:cs="Arial"/>
          <w:b/>
          <w:sz w:val="18"/>
          <w:szCs w:val="18"/>
        </w:rPr>
        <w:t xml:space="preserve"> to 18</w:t>
      </w:r>
      <w:r w:rsidR="0031545A" w:rsidRPr="00231366">
        <w:rPr>
          <w:rFonts w:ascii="Arial" w:hAnsi="Arial" w:cs="Arial"/>
          <w:b/>
          <w:sz w:val="18"/>
          <w:szCs w:val="18"/>
          <w:vertAlign w:val="superscript"/>
        </w:rPr>
        <w:t>th</w:t>
      </w:r>
      <w:r w:rsidR="0031545A" w:rsidRPr="00231366">
        <w:rPr>
          <w:rFonts w:ascii="Arial" w:hAnsi="Arial" w:cs="Arial"/>
          <w:b/>
          <w:sz w:val="18"/>
          <w:szCs w:val="18"/>
        </w:rPr>
        <w:t xml:space="preserve"> January 2016</w:t>
      </w:r>
      <w:r w:rsidRPr="00231366">
        <w:rPr>
          <w:rFonts w:ascii="Arial" w:hAnsi="Arial" w:cs="Arial"/>
          <w:b/>
          <w:sz w:val="18"/>
          <w:szCs w:val="18"/>
        </w:rPr>
        <w:t>.</w:t>
      </w:r>
    </w:p>
    <w:p w14:paraId="35AC2AAC" w14:textId="77777777" w:rsidR="008F26F8" w:rsidRPr="00231366" w:rsidRDefault="008F26F8" w:rsidP="008A2FCF">
      <w:pPr>
        <w:pStyle w:val="ListParagraph"/>
        <w:numPr>
          <w:ilvl w:val="0"/>
          <w:numId w:val="9"/>
        </w:numPr>
        <w:spacing w:line="240" w:lineRule="exact"/>
        <w:rPr>
          <w:rFonts w:ascii="Calibri" w:hAnsi="Calibri" w:cs="Arial"/>
          <w:sz w:val="18"/>
          <w:szCs w:val="18"/>
        </w:rPr>
      </w:pPr>
      <w:r w:rsidRPr="00231366">
        <w:rPr>
          <w:rFonts w:ascii="Calibri" w:hAnsi="Calibri" w:cs="Arial"/>
          <w:sz w:val="18"/>
          <w:szCs w:val="18"/>
        </w:rPr>
        <w:t>107 respondents said the</w:t>
      </w:r>
      <w:r w:rsidR="00BB0E42" w:rsidRPr="00231366">
        <w:rPr>
          <w:rFonts w:ascii="Calibri" w:hAnsi="Calibri" w:cs="Arial"/>
          <w:sz w:val="18"/>
          <w:szCs w:val="18"/>
        </w:rPr>
        <w:t>y</w:t>
      </w:r>
      <w:r w:rsidRPr="00231366">
        <w:rPr>
          <w:rFonts w:ascii="Calibri" w:hAnsi="Calibri" w:cs="Arial"/>
          <w:sz w:val="18"/>
          <w:szCs w:val="18"/>
        </w:rPr>
        <w:t xml:space="preserve"> had taken out a payday loan, put money on a credit card o</w:t>
      </w:r>
      <w:r w:rsidR="00BB0E42" w:rsidRPr="00231366">
        <w:rPr>
          <w:rFonts w:ascii="Calibri" w:hAnsi="Calibri" w:cs="Arial"/>
          <w:sz w:val="18"/>
          <w:szCs w:val="18"/>
        </w:rPr>
        <w:t>r</w:t>
      </w:r>
      <w:r w:rsidRPr="00231366">
        <w:rPr>
          <w:rFonts w:ascii="Calibri" w:hAnsi="Calibri" w:cs="Arial"/>
          <w:sz w:val="18"/>
          <w:szCs w:val="18"/>
        </w:rPr>
        <w:t xml:space="preserve"> taken out a new one, or taken out a personal loan to help pay for the cost of a funeral. 107 / 2006 *</w:t>
      </w:r>
      <w:r w:rsidR="00941B64" w:rsidRPr="00231366">
        <w:rPr>
          <w:rFonts w:ascii="Calibri" w:hAnsi="Calibri" w:cs="Arial"/>
          <w:sz w:val="18"/>
          <w:szCs w:val="18"/>
        </w:rPr>
        <w:t xml:space="preserve"> 50,909,000 =</w:t>
      </w:r>
      <w:r w:rsidRPr="00231366">
        <w:rPr>
          <w:rFonts w:ascii="Calibri" w:hAnsi="Calibri" w:cs="Arial"/>
          <w:sz w:val="18"/>
          <w:szCs w:val="18"/>
        </w:rPr>
        <w:t xml:space="preserve"> 2,715,485 or 2.7 million.</w:t>
      </w:r>
    </w:p>
    <w:p w14:paraId="45EB8009" w14:textId="7ED48B85" w:rsidR="00231366" w:rsidRDefault="00231366" w:rsidP="00231366">
      <w:pPr>
        <w:pStyle w:val="ListParagraph"/>
        <w:numPr>
          <w:ilvl w:val="0"/>
          <w:numId w:val="9"/>
        </w:numPr>
        <w:spacing w:line="240" w:lineRule="exact"/>
        <w:rPr>
          <w:sz w:val="18"/>
          <w:szCs w:val="18"/>
        </w:rPr>
      </w:pPr>
      <w:r w:rsidRPr="00231366">
        <w:rPr>
          <w:sz w:val="18"/>
          <w:szCs w:val="18"/>
        </w:rPr>
        <w:t xml:space="preserve">There have been a total of 2,869,499 deaths in the United Kingdom in the period of 2011 to 2015. The estimated average cost of a funeral by those who have managed an estate was £4,136. Hence the total assumed cost of funerals in the UK in this period was 2,869,499 * £4,136  = £11,868,247,864. 59.4% of those who have managed an estate said they either have never paid for a funeral or the estate paid for it, leaving an assumed 40.6% </w:t>
      </w:r>
      <w:r w:rsidR="000953D5">
        <w:rPr>
          <w:sz w:val="18"/>
          <w:szCs w:val="18"/>
        </w:rPr>
        <w:t xml:space="preserve">(rounded) </w:t>
      </w:r>
      <w:r w:rsidRPr="00231366">
        <w:rPr>
          <w:sz w:val="18"/>
          <w:szCs w:val="18"/>
        </w:rPr>
        <w:t>of deaths with funerals that were paid for wholly by friends and relatives. £11,868,247,864 * 40.6% = £4,818,894,144 or £</w:t>
      </w:r>
      <w:r w:rsidR="00766155">
        <w:rPr>
          <w:sz w:val="18"/>
          <w:szCs w:val="18"/>
        </w:rPr>
        <w:t>4.8</w:t>
      </w:r>
      <w:r w:rsidR="00766155" w:rsidRPr="00231366">
        <w:rPr>
          <w:sz w:val="18"/>
          <w:szCs w:val="18"/>
        </w:rPr>
        <w:t xml:space="preserve"> </w:t>
      </w:r>
      <w:r w:rsidRPr="00231366">
        <w:rPr>
          <w:sz w:val="18"/>
          <w:szCs w:val="18"/>
        </w:rPr>
        <w:t>billion</w:t>
      </w:r>
    </w:p>
    <w:p w14:paraId="455D09B2" w14:textId="13323636" w:rsidR="0012755D" w:rsidRPr="00231366" w:rsidRDefault="0012755D" w:rsidP="00231366">
      <w:pPr>
        <w:pStyle w:val="ListParagraph"/>
        <w:numPr>
          <w:ilvl w:val="0"/>
          <w:numId w:val="9"/>
        </w:numPr>
        <w:spacing w:line="240" w:lineRule="exact"/>
        <w:rPr>
          <w:sz w:val="18"/>
          <w:szCs w:val="18"/>
        </w:rPr>
      </w:pPr>
      <w:r>
        <w:rPr>
          <w:sz w:val="18"/>
          <w:szCs w:val="18"/>
        </w:rPr>
        <w:t xml:space="preserve">Respondents were then asked how they spent on each method of funding a funeral over the last five years. The </w:t>
      </w:r>
      <w:r w:rsidR="0016099F">
        <w:rPr>
          <w:sz w:val="18"/>
          <w:szCs w:val="18"/>
        </w:rPr>
        <w:t xml:space="preserve">amount that </w:t>
      </w:r>
      <w:r>
        <w:rPr>
          <w:sz w:val="18"/>
          <w:szCs w:val="18"/>
        </w:rPr>
        <w:t xml:space="preserve">all who paid for a funeral spent </w:t>
      </w:r>
      <w:r w:rsidR="0016099F">
        <w:rPr>
          <w:sz w:val="18"/>
          <w:szCs w:val="18"/>
        </w:rPr>
        <w:t>by each payment method</w:t>
      </w:r>
      <w:r>
        <w:rPr>
          <w:sz w:val="18"/>
          <w:szCs w:val="18"/>
        </w:rPr>
        <w:t xml:space="preserve"> was then calculated as a share of the total estimated spend of £4,818,894,144.</w:t>
      </w:r>
    </w:p>
    <w:p w14:paraId="5979040D" w14:textId="77777777" w:rsidR="0018496F" w:rsidRPr="00231366" w:rsidRDefault="0018496F" w:rsidP="0018496F">
      <w:pPr>
        <w:pStyle w:val="ListParagraph"/>
        <w:numPr>
          <w:ilvl w:val="0"/>
          <w:numId w:val="9"/>
        </w:numPr>
        <w:spacing w:line="240" w:lineRule="exact"/>
        <w:rPr>
          <w:rFonts w:ascii="Calibri" w:hAnsi="Calibri" w:cs="Arial"/>
          <w:sz w:val="18"/>
          <w:szCs w:val="18"/>
        </w:rPr>
      </w:pPr>
      <w:r w:rsidRPr="00231366">
        <w:rPr>
          <w:rFonts w:ascii="Calibri" w:hAnsi="Calibri" w:cs="Arial"/>
          <w:sz w:val="18"/>
          <w:szCs w:val="18"/>
        </w:rPr>
        <w:t>49 respondents said they had taken out a payday loan to help pay for the funeral of a loved one. 49 / 2006 * 50,909,000 = 1,243,540 or 1.2 million</w:t>
      </w:r>
    </w:p>
    <w:p w14:paraId="769BB5A7" w14:textId="77777777" w:rsidR="0077363E" w:rsidRDefault="008F5517" w:rsidP="00120ECC">
      <w:pPr>
        <w:pStyle w:val="ListParagraph"/>
        <w:numPr>
          <w:ilvl w:val="0"/>
          <w:numId w:val="9"/>
        </w:numPr>
        <w:spacing w:line="240" w:lineRule="exact"/>
      </w:pPr>
      <w:r w:rsidRPr="00231366">
        <w:rPr>
          <w:rFonts w:ascii="Calibri" w:hAnsi="Calibri" w:cs="Arial"/>
          <w:sz w:val="18"/>
          <w:szCs w:val="18"/>
        </w:rPr>
        <w:t>Annual forecasts for the CPI up until 2021 are taken from the Office for Budget Responsibility's latest Economic Forecasts. The inflation rate for the following five years are extrapolated based on the OBR's trends. The annual inflation rate was applied to both figures to produce a forecast cost for 2026 in line with inflation.</w:t>
      </w:r>
      <w:r w:rsidR="00B416F0" w:rsidDel="00B416F0">
        <w:rPr>
          <w:rFonts w:ascii="Calibri" w:hAnsi="Calibri" w:cs="Arial"/>
          <w:sz w:val="18"/>
          <w:szCs w:val="18"/>
        </w:rPr>
        <w:t xml:space="preserve"> </w:t>
      </w:r>
      <w:r w:rsidR="00F21AE1">
        <w:rPr>
          <w:rFonts w:ascii="Calibri" w:hAnsi="Calibri" w:cs="Arial"/>
          <w:sz w:val="18"/>
          <w:szCs w:val="18"/>
        </w:rPr>
        <w:br/>
      </w:r>
    </w:p>
    <w:p w14:paraId="4E94C672" w14:textId="77777777" w:rsidR="00FC12E4" w:rsidRPr="00FC12E4" w:rsidRDefault="00FC12E4" w:rsidP="00FC12E4">
      <w:pPr>
        <w:spacing w:line="360" w:lineRule="auto"/>
        <w:rPr>
          <w:b/>
          <w:sz w:val="18"/>
          <w:szCs w:val="18"/>
        </w:rPr>
      </w:pPr>
      <w:r w:rsidRPr="00FC12E4">
        <w:rPr>
          <w:b/>
          <w:sz w:val="18"/>
          <w:szCs w:val="18"/>
        </w:rPr>
        <w:t xml:space="preserve">Product features: </w:t>
      </w:r>
    </w:p>
    <w:p w14:paraId="3C8DEA24" w14:textId="77777777" w:rsidR="00FC12E4" w:rsidRPr="00FC12E4" w:rsidRDefault="00FC12E4" w:rsidP="00FC12E4">
      <w:pPr>
        <w:spacing w:line="360" w:lineRule="auto"/>
        <w:rPr>
          <w:b/>
          <w:sz w:val="18"/>
          <w:szCs w:val="18"/>
        </w:rPr>
      </w:pPr>
      <w:r w:rsidRPr="00FC12E4">
        <w:rPr>
          <w:sz w:val="18"/>
          <w:szCs w:val="18"/>
        </w:rPr>
        <w:t xml:space="preserve">The key product features of British Seniors Life Insurance Over 50s Life Insurance with the Lifetime Payback Guarantee are: </w:t>
      </w:r>
    </w:p>
    <w:p w14:paraId="2B5C420B" w14:textId="77777777" w:rsidR="00FC12E4" w:rsidRPr="00FC12E4" w:rsidRDefault="00FC12E4" w:rsidP="00FC12E4">
      <w:pPr>
        <w:pStyle w:val="ListParagraph"/>
        <w:numPr>
          <w:ilvl w:val="0"/>
          <w:numId w:val="3"/>
        </w:numPr>
        <w:spacing w:line="360" w:lineRule="auto"/>
        <w:ind w:left="714" w:hanging="357"/>
        <w:rPr>
          <w:sz w:val="18"/>
          <w:szCs w:val="18"/>
        </w:rPr>
      </w:pPr>
      <w:r w:rsidRPr="00FC12E4">
        <w:rPr>
          <w:sz w:val="18"/>
          <w:szCs w:val="18"/>
        </w:rPr>
        <w:t xml:space="preserve">Loved ones will always receive the cover amount or the total premiums paid in – whichever is more </w:t>
      </w:r>
    </w:p>
    <w:p w14:paraId="0D5E671B" w14:textId="77777777" w:rsidR="00FC12E4" w:rsidRPr="00FC12E4" w:rsidRDefault="00FC12E4" w:rsidP="00FC12E4">
      <w:pPr>
        <w:pStyle w:val="ListParagraph"/>
        <w:numPr>
          <w:ilvl w:val="0"/>
          <w:numId w:val="3"/>
        </w:numPr>
        <w:spacing w:line="360" w:lineRule="auto"/>
        <w:rPr>
          <w:sz w:val="18"/>
          <w:szCs w:val="18"/>
        </w:rPr>
      </w:pPr>
      <w:r w:rsidRPr="00FC12E4">
        <w:rPr>
          <w:sz w:val="18"/>
          <w:szCs w:val="18"/>
        </w:rPr>
        <w:t xml:space="preserve">Customers can get benefit amount from £2,000 to £20,000 and premiums start from as little as £6.47 a month (for a 50 year old and £2,000 benefit amount) </w:t>
      </w:r>
    </w:p>
    <w:p w14:paraId="79A638BE" w14:textId="77777777" w:rsidR="00FC12E4" w:rsidRPr="00FC12E4" w:rsidRDefault="00FC12E4" w:rsidP="00FC12E4">
      <w:pPr>
        <w:pStyle w:val="ListParagraph"/>
        <w:numPr>
          <w:ilvl w:val="0"/>
          <w:numId w:val="3"/>
        </w:numPr>
        <w:spacing w:line="360" w:lineRule="auto"/>
        <w:ind w:left="714" w:hanging="357"/>
        <w:rPr>
          <w:sz w:val="18"/>
          <w:szCs w:val="18"/>
        </w:rPr>
      </w:pPr>
      <w:r w:rsidRPr="00FC12E4">
        <w:rPr>
          <w:sz w:val="18"/>
          <w:szCs w:val="18"/>
        </w:rPr>
        <w:t>B</w:t>
      </w:r>
      <w:r w:rsidR="00236D9E">
        <w:rPr>
          <w:sz w:val="18"/>
          <w:szCs w:val="18"/>
        </w:rPr>
        <w:t xml:space="preserve">ritish </w:t>
      </w:r>
      <w:r w:rsidRPr="00FC12E4">
        <w:rPr>
          <w:sz w:val="18"/>
          <w:szCs w:val="18"/>
        </w:rPr>
        <w:t>S</w:t>
      </w:r>
      <w:r w:rsidR="00236D9E">
        <w:rPr>
          <w:sz w:val="18"/>
          <w:szCs w:val="18"/>
        </w:rPr>
        <w:t xml:space="preserve">eniors </w:t>
      </w:r>
      <w:r w:rsidRPr="00FC12E4">
        <w:rPr>
          <w:sz w:val="18"/>
          <w:szCs w:val="18"/>
        </w:rPr>
        <w:t>I</w:t>
      </w:r>
      <w:r w:rsidR="00236D9E">
        <w:rPr>
          <w:sz w:val="18"/>
          <w:szCs w:val="18"/>
        </w:rPr>
        <w:t xml:space="preserve">nsurance </w:t>
      </w:r>
      <w:r w:rsidRPr="00FC12E4">
        <w:rPr>
          <w:sz w:val="18"/>
          <w:szCs w:val="18"/>
        </w:rPr>
        <w:t>A</w:t>
      </w:r>
      <w:r w:rsidR="00236D9E">
        <w:rPr>
          <w:sz w:val="18"/>
          <w:szCs w:val="18"/>
        </w:rPr>
        <w:t>gency</w:t>
      </w:r>
      <w:r w:rsidRPr="00FC12E4">
        <w:rPr>
          <w:sz w:val="18"/>
          <w:szCs w:val="18"/>
        </w:rPr>
        <w:t xml:space="preserve"> offers three times the benefit amount from day one for accidental death </w:t>
      </w:r>
    </w:p>
    <w:p w14:paraId="78DBCB3A" w14:textId="77777777" w:rsidR="00FC12E4" w:rsidRPr="005A5651" w:rsidRDefault="00FC12E4">
      <w:pPr>
        <w:pStyle w:val="ListParagraph"/>
        <w:numPr>
          <w:ilvl w:val="0"/>
          <w:numId w:val="3"/>
        </w:numPr>
        <w:spacing w:line="360" w:lineRule="auto"/>
        <w:ind w:left="714" w:hanging="357"/>
        <w:rPr>
          <w:sz w:val="18"/>
          <w:szCs w:val="18"/>
        </w:rPr>
      </w:pPr>
      <w:r w:rsidRPr="00FC12E4">
        <w:rPr>
          <w:sz w:val="18"/>
          <w:szCs w:val="18"/>
        </w:rPr>
        <w:t>B</w:t>
      </w:r>
      <w:r w:rsidR="00236D9E">
        <w:rPr>
          <w:sz w:val="18"/>
          <w:szCs w:val="18"/>
        </w:rPr>
        <w:t xml:space="preserve">ritish </w:t>
      </w:r>
      <w:r w:rsidRPr="00FC12E4">
        <w:rPr>
          <w:sz w:val="18"/>
          <w:szCs w:val="18"/>
        </w:rPr>
        <w:t>S</w:t>
      </w:r>
      <w:r w:rsidR="00236D9E">
        <w:rPr>
          <w:sz w:val="18"/>
          <w:szCs w:val="18"/>
        </w:rPr>
        <w:t xml:space="preserve">eniors </w:t>
      </w:r>
      <w:r w:rsidRPr="00FC12E4">
        <w:rPr>
          <w:sz w:val="18"/>
          <w:szCs w:val="18"/>
        </w:rPr>
        <w:t>I</w:t>
      </w:r>
      <w:r w:rsidR="00236D9E">
        <w:rPr>
          <w:sz w:val="18"/>
          <w:szCs w:val="18"/>
        </w:rPr>
        <w:t xml:space="preserve">nsurance </w:t>
      </w:r>
      <w:r w:rsidRPr="00FC12E4">
        <w:rPr>
          <w:sz w:val="18"/>
          <w:szCs w:val="18"/>
        </w:rPr>
        <w:t>A</w:t>
      </w:r>
      <w:r w:rsidR="00236D9E">
        <w:rPr>
          <w:sz w:val="18"/>
          <w:szCs w:val="18"/>
        </w:rPr>
        <w:t>gency</w:t>
      </w:r>
      <w:r w:rsidRPr="00FC12E4">
        <w:rPr>
          <w:sz w:val="18"/>
          <w:szCs w:val="18"/>
        </w:rPr>
        <w:t xml:space="preserve"> offers full flexibility, allowing endorsements or changes to increase or decrease cover amounts without any additional fees or charges</w:t>
      </w:r>
      <w:r w:rsidR="00164FA7">
        <w:rPr>
          <w:sz w:val="18"/>
          <w:szCs w:val="18"/>
        </w:rPr>
        <w:t xml:space="preserve"> (</w:t>
      </w:r>
      <w:r w:rsidR="00164FA7" w:rsidRPr="0017096E">
        <w:rPr>
          <w:sz w:val="18"/>
          <w:szCs w:val="18"/>
        </w:rPr>
        <w:t>If the benefit amount is reduced the Lifetime Payback Guarantee will be affected proportionately</w:t>
      </w:r>
      <w:r w:rsidR="00164FA7">
        <w:rPr>
          <w:sz w:val="18"/>
          <w:szCs w:val="18"/>
        </w:rPr>
        <w:t>)</w:t>
      </w:r>
    </w:p>
    <w:p w14:paraId="23107A2A" w14:textId="77777777" w:rsidR="00FC12E4" w:rsidRPr="00FC12E4" w:rsidRDefault="00FC12E4" w:rsidP="00FC12E4">
      <w:pPr>
        <w:pStyle w:val="ListParagraph"/>
        <w:numPr>
          <w:ilvl w:val="0"/>
          <w:numId w:val="3"/>
        </w:numPr>
        <w:spacing w:line="360" w:lineRule="auto"/>
        <w:ind w:left="714" w:hanging="357"/>
        <w:rPr>
          <w:sz w:val="18"/>
          <w:szCs w:val="18"/>
        </w:rPr>
      </w:pPr>
      <w:r w:rsidRPr="00FC12E4">
        <w:rPr>
          <w:sz w:val="18"/>
          <w:szCs w:val="18"/>
        </w:rPr>
        <w:t>Customers (50-79 years old and UK residents) are guaranteed to be accepted with no health or blood tests</w:t>
      </w:r>
    </w:p>
    <w:p w14:paraId="4A2B6E1B" w14:textId="77777777" w:rsidR="00FC12E4" w:rsidRPr="00FC12E4" w:rsidRDefault="00FC12E4" w:rsidP="00FC12E4">
      <w:pPr>
        <w:pStyle w:val="ListParagraph"/>
        <w:numPr>
          <w:ilvl w:val="0"/>
          <w:numId w:val="3"/>
        </w:numPr>
        <w:spacing w:line="360" w:lineRule="auto"/>
        <w:ind w:left="714" w:hanging="357"/>
        <w:rPr>
          <w:sz w:val="18"/>
          <w:szCs w:val="18"/>
        </w:rPr>
      </w:pPr>
      <w:r w:rsidRPr="00FC12E4">
        <w:rPr>
          <w:sz w:val="18"/>
          <w:szCs w:val="18"/>
        </w:rPr>
        <w:t>Should a non-accidental death occur in the first 2 years loved ones will receive all premiums paid in (after 2 years, cover is provided for death due to any cause)</w:t>
      </w:r>
    </w:p>
    <w:p w14:paraId="7F2BDB45" w14:textId="77777777" w:rsidR="0017096E" w:rsidRDefault="00FC12E4" w:rsidP="00FC12E4">
      <w:pPr>
        <w:pStyle w:val="ListParagraph"/>
        <w:numPr>
          <w:ilvl w:val="0"/>
          <w:numId w:val="3"/>
        </w:numPr>
        <w:spacing w:line="360" w:lineRule="auto"/>
        <w:ind w:left="714" w:hanging="357"/>
        <w:rPr>
          <w:sz w:val="18"/>
          <w:szCs w:val="18"/>
        </w:rPr>
      </w:pPr>
      <w:r w:rsidRPr="00FC12E4">
        <w:rPr>
          <w:sz w:val="18"/>
          <w:szCs w:val="18"/>
        </w:rPr>
        <w:t>Premiums are fixed and do not increase</w:t>
      </w:r>
    </w:p>
    <w:p w14:paraId="5087E19F" w14:textId="77777777" w:rsidR="007B7315" w:rsidRDefault="007B7315" w:rsidP="00B62CD5">
      <w:pPr>
        <w:spacing w:line="360" w:lineRule="auto"/>
        <w:rPr>
          <w:b/>
          <w:bCs/>
          <w:sz w:val="18"/>
          <w:szCs w:val="18"/>
        </w:rPr>
      </w:pPr>
    </w:p>
    <w:p w14:paraId="07E77ED6" w14:textId="77777777" w:rsidR="00B62CD5" w:rsidRPr="00B62CD5" w:rsidRDefault="00B62CD5" w:rsidP="00B62CD5">
      <w:pPr>
        <w:spacing w:line="360" w:lineRule="auto"/>
        <w:rPr>
          <w:b/>
          <w:bCs/>
          <w:sz w:val="18"/>
          <w:szCs w:val="18"/>
        </w:rPr>
      </w:pPr>
      <w:r w:rsidRPr="00B62CD5">
        <w:rPr>
          <w:b/>
          <w:bCs/>
          <w:sz w:val="18"/>
          <w:szCs w:val="18"/>
        </w:rPr>
        <w:t>About British Seniors Insurance Agency:</w:t>
      </w:r>
    </w:p>
    <w:p w14:paraId="56F984B3" w14:textId="77777777" w:rsidR="00B62CD5" w:rsidRPr="00B62CD5" w:rsidRDefault="00B62CD5" w:rsidP="00B62CD5">
      <w:pPr>
        <w:spacing w:line="240" w:lineRule="exact"/>
        <w:jc w:val="both"/>
        <w:rPr>
          <w:color w:val="000000"/>
          <w:sz w:val="18"/>
          <w:szCs w:val="18"/>
        </w:rPr>
      </w:pPr>
      <w:r w:rsidRPr="00B62CD5">
        <w:rPr>
          <w:color w:val="000000"/>
          <w:sz w:val="18"/>
          <w:szCs w:val="18"/>
        </w:rPr>
        <w:t xml:space="preserve">British Seniors Insurance Agency® is a trading name of Neilson Financial Services Limited which is authorised and regulated by the Financial Conduct Authority and entered on the Financial Services register </w:t>
      </w:r>
      <w:hyperlink r:id="rId10" w:history="1">
        <w:r w:rsidRPr="00B62CD5">
          <w:rPr>
            <w:rStyle w:val="Hyperlink"/>
            <w:sz w:val="18"/>
            <w:szCs w:val="18"/>
          </w:rPr>
          <w:t>www.fsa.gov.uk/register/</w:t>
        </w:r>
      </w:hyperlink>
      <w:r w:rsidRPr="00B62CD5">
        <w:rPr>
          <w:color w:val="000000"/>
          <w:sz w:val="18"/>
          <w:szCs w:val="18"/>
        </w:rPr>
        <w:t xml:space="preserve"> under reference 594926. Neilson Financial Services Limited. Registered in England and Wales. Number 07986483. Registered Office: Landmark Place, Windsor Road, Slough, Berkshire SL1 1JL. All products are arranged by British Seniors Insurance Agency and issued, underwritten and administered by Scottish Friendly Assurance Society Limited which is authorised by the Prudential Regulation Authority and regulated by the Financial Conduct Authority and the Prudential Regulation Authority under reference 110002, with permission to effect and carry out contracts of insurance. </w:t>
      </w:r>
    </w:p>
    <w:p w14:paraId="3D64A044" w14:textId="77777777" w:rsidR="007B7315" w:rsidRDefault="007B7315" w:rsidP="00B62CD5">
      <w:pPr>
        <w:rPr>
          <w:b/>
          <w:bCs/>
          <w:sz w:val="18"/>
          <w:szCs w:val="18"/>
        </w:rPr>
      </w:pPr>
    </w:p>
    <w:p w14:paraId="5865375B" w14:textId="77777777" w:rsidR="00B62CD5" w:rsidRPr="00B62CD5" w:rsidRDefault="00B62CD5" w:rsidP="00B62CD5">
      <w:pPr>
        <w:rPr>
          <w:b/>
          <w:bCs/>
          <w:sz w:val="18"/>
          <w:szCs w:val="18"/>
        </w:rPr>
      </w:pPr>
      <w:r w:rsidRPr="00B62CD5">
        <w:rPr>
          <w:b/>
          <w:bCs/>
          <w:sz w:val="18"/>
          <w:szCs w:val="18"/>
        </w:rPr>
        <w:t>About Neilson Financial Services</w:t>
      </w:r>
    </w:p>
    <w:p w14:paraId="3E09720E" w14:textId="77777777" w:rsidR="00B62CD5" w:rsidRPr="00B62CD5" w:rsidRDefault="00B62CD5" w:rsidP="00B62CD5">
      <w:pPr>
        <w:rPr>
          <w:sz w:val="18"/>
          <w:szCs w:val="18"/>
        </w:rPr>
      </w:pPr>
      <w:r w:rsidRPr="00B62CD5">
        <w:rPr>
          <w:sz w:val="18"/>
          <w:szCs w:val="18"/>
        </w:rPr>
        <w:t>Neilson Financial Services (NFS) is a UK Insurance Intermediary specialising in the provision of Life Insurance directly to consumers through two retail brands: </w:t>
      </w:r>
      <w:hyperlink r:id="rId11" w:tgtFrame="_blank" w:history="1">
        <w:r w:rsidRPr="00B62CD5">
          <w:rPr>
            <w:rStyle w:val="Hyperlink"/>
            <w:sz w:val="18"/>
            <w:szCs w:val="18"/>
          </w:rPr>
          <w:t>British Seniors Insurance Agency</w:t>
        </w:r>
      </w:hyperlink>
      <w:r w:rsidRPr="00B62CD5">
        <w:rPr>
          <w:sz w:val="18"/>
          <w:szCs w:val="18"/>
        </w:rPr>
        <w:t> and </w:t>
      </w:r>
      <w:hyperlink r:id="rId12" w:tgtFrame="_blank" w:history="1">
        <w:r w:rsidRPr="00B62CD5">
          <w:rPr>
            <w:rStyle w:val="Hyperlink"/>
            <w:sz w:val="18"/>
            <w:szCs w:val="18"/>
          </w:rPr>
          <w:t>Smart Insurance</w:t>
        </w:r>
      </w:hyperlink>
      <w:r w:rsidRPr="00B62CD5">
        <w:rPr>
          <w:sz w:val="18"/>
          <w:szCs w:val="18"/>
        </w:rPr>
        <w:t>.</w:t>
      </w:r>
    </w:p>
    <w:p w14:paraId="0B694E51" w14:textId="77777777" w:rsidR="00B62CD5" w:rsidRPr="00B62CD5" w:rsidRDefault="00B62CD5" w:rsidP="00B62CD5">
      <w:pPr>
        <w:rPr>
          <w:sz w:val="18"/>
          <w:szCs w:val="18"/>
        </w:rPr>
      </w:pPr>
      <w:r w:rsidRPr="00B62CD5">
        <w:rPr>
          <w:sz w:val="18"/>
          <w:szCs w:val="18"/>
        </w:rPr>
        <w:t xml:space="preserve">NFS started in the UK 3 years ago and work in partnership with Scottish Friendly an Insurance company with over 150 years of insurance heritage. </w:t>
      </w:r>
    </w:p>
    <w:p w14:paraId="61EE3AFC" w14:textId="77777777" w:rsidR="00B62CD5" w:rsidRPr="00B62CD5" w:rsidRDefault="00B62CD5" w:rsidP="00B62CD5">
      <w:pPr>
        <w:rPr>
          <w:sz w:val="18"/>
          <w:szCs w:val="18"/>
        </w:rPr>
      </w:pPr>
      <w:r w:rsidRPr="00B62CD5">
        <w:rPr>
          <w:sz w:val="18"/>
          <w:szCs w:val="18"/>
        </w:rPr>
        <w:t>The NFS strategy is to distribute innovative products to the direct insurance market, such as the new Lifetime Payback Guarantee, and to ensure that customers consistently receive a high quality, fully integrated service.</w:t>
      </w:r>
    </w:p>
    <w:p w14:paraId="0B59D348" w14:textId="77777777" w:rsidR="00B62CD5" w:rsidRPr="00B62CD5" w:rsidRDefault="00B62CD5" w:rsidP="00B62CD5">
      <w:pPr>
        <w:rPr>
          <w:sz w:val="18"/>
          <w:szCs w:val="18"/>
        </w:rPr>
      </w:pPr>
      <w:r w:rsidRPr="00B62CD5">
        <w:rPr>
          <w:sz w:val="18"/>
          <w:szCs w:val="18"/>
        </w:rPr>
        <w:t>Key to success is their specialist in-house Marketing team and UK based call centre providing exemplary customer service in sales, services and policy administration.</w:t>
      </w:r>
    </w:p>
    <w:p w14:paraId="100B1CB1" w14:textId="77777777" w:rsidR="00B62CD5" w:rsidRPr="00167DEA" w:rsidRDefault="00B62CD5" w:rsidP="00167DEA">
      <w:pPr>
        <w:spacing w:line="240" w:lineRule="exact"/>
        <w:rPr>
          <w:rFonts w:ascii="Arial" w:hAnsi="Arial" w:cs="Arial"/>
          <w:sz w:val="18"/>
          <w:szCs w:val="18"/>
        </w:rPr>
      </w:pPr>
    </w:p>
    <w:sectPr w:rsidR="00B62CD5" w:rsidRPr="00167DEA" w:rsidSect="003A5CC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FFB8" w14:textId="77777777" w:rsidR="005D2D61" w:rsidRDefault="005D2D61" w:rsidP="00AA4EE3">
      <w:pPr>
        <w:spacing w:after="0" w:line="240" w:lineRule="auto"/>
      </w:pPr>
      <w:r>
        <w:separator/>
      </w:r>
    </w:p>
  </w:endnote>
  <w:endnote w:type="continuationSeparator" w:id="0">
    <w:p w14:paraId="352A8F02" w14:textId="77777777" w:rsidR="005D2D61" w:rsidRDefault="005D2D61" w:rsidP="00AA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77344"/>
      <w:docPartObj>
        <w:docPartGallery w:val="Page Numbers (Bottom of Page)"/>
        <w:docPartUnique/>
      </w:docPartObj>
    </w:sdtPr>
    <w:sdtEndPr>
      <w:rPr>
        <w:noProof/>
      </w:rPr>
    </w:sdtEndPr>
    <w:sdtContent>
      <w:p w14:paraId="1A8A93E0" w14:textId="77777777" w:rsidR="0045695E" w:rsidRDefault="003A5CC8">
        <w:pPr>
          <w:pStyle w:val="Footer"/>
          <w:jc w:val="right"/>
        </w:pPr>
        <w:r>
          <w:fldChar w:fldCharType="begin"/>
        </w:r>
        <w:r w:rsidR="0045695E">
          <w:instrText xml:space="preserve"> PAGE   \* MERGEFORMAT </w:instrText>
        </w:r>
        <w:r>
          <w:fldChar w:fldCharType="separate"/>
        </w:r>
        <w:r w:rsidR="005D2D61">
          <w:rPr>
            <w:noProof/>
          </w:rPr>
          <w:t>1</w:t>
        </w:r>
        <w:r>
          <w:rPr>
            <w:noProof/>
          </w:rPr>
          <w:fldChar w:fldCharType="end"/>
        </w:r>
      </w:p>
    </w:sdtContent>
  </w:sdt>
  <w:p w14:paraId="5157A8DA" w14:textId="77777777" w:rsidR="0045695E" w:rsidRDefault="00456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4E48" w14:textId="77777777" w:rsidR="005D2D61" w:rsidRDefault="005D2D61" w:rsidP="00AA4EE3">
      <w:pPr>
        <w:spacing w:after="0" w:line="240" w:lineRule="auto"/>
      </w:pPr>
      <w:r>
        <w:separator/>
      </w:r>
    </w:p>
  </w:footnote>
  <w:footnote w:type="continuationSeparator" w:id="0">
    <w:p w14:paraId="762FDFB5" w14:textId="77777777" w:rsidR="005D2D61" w:rsidRDefault="005D2D61" w:rsidP="00AA4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66542" w14:textId="77777777" w:rsidR="00AA4EE3" w:rsidRDefault="0045695E" w:rsidP="00AD17EC">
    <w:pPr>
      <w:pStyle w:val="Header"/>
      <w:tabs>
        <w:tab w:val="left" w:pos="6270"/>
      </w:tabs>
    </w:pPr>
    <w:r>
      <w:tab/>
    </w:r>
    <w:r>
      <w:tab/>
    </w:r>
    <w:r>
      <w:tab/>
    </w:r>
    <w:r w:rsidR="00C871FB">
      <w:rPr>
        <w:noProof/>
      </w:rPr>
      <w:drawing>
        <wp:inline distT="0" distB="0" distL="0" distR="0" wp14:anchorId="43E75EBF" wp14:editId="1E2AAAEB">
          <wp:extent cx="1685925" cy="857250"/>
          <wp:effectExtent l="0" t="0" r="9525" b="0"/>
          <wp:docPr id="3" name="Picture 3" descr="https://www.britishseniors.co.uk/media/1001/logo_british_seniors_insurance_ag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ritishseniors.co.uk/media/1001/logo_british_seniors_insurance_ag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857250"/>
                  </a:xfrm>
                  <a:prstGeom prst="rect">
                    <a:avLst/>
                  </a:prstGeom>
                  <a:noFill/>
                  <a:ln>
                    <a:noFill/>
                  </a:ln>
                </pic:spPr>
              </pic:pic>
            </a:graphicData>
          </a:graphic>
        </wp:inline>
      </w:drawing>
    </w:r>
  </w:p>
  <w:p w14:paraId="13B7612F" w14:textId="77777777" w:rsidR="00352EFA" w:rsidRDefault="00352EFA" w:rsidP="00AD17EC">
    <w:pPr>
      <w:pStyle w:val="Header"/>
      <w:tabs>
        <w:tab w:val="left" w:pos="62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9C4"/>
    <w:multiLevelType w:val="hybridMultilevel"/>
    <w:tmpl w:val="4710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B26F0"/>
    <w:multiLevelType w:val="hybridMultilevel"/>
    <w:tmpl w:val="105E5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AF0A97"/>
    <w:multiLevelType w:val="hybridMultilevel"/>
    <w:tmpl w:val="A300D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CC0398"/>
    <w:multiLevelType w:val="hybridMultilevel"/>
    <w:tmpl w:val="12DE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D2264A"/>
    <w:multiLevelType w:val="hybridMultilevel"/>
    <w:tmpl w:val="3314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5F0E92"/>
    <w:multiLevelType w:val="hybridMultilevel"/>
    <w:tmpl w:val="4D844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5641B29"/>
    <w:multiLevelType w:val="hybridMultilevel"/>
    <w:tmpl w:val="5EEC2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6803554"/>
    <w:multiLevelType w:val="hybridMultilevel"/>
    <w:tmpl w:val="962CB5AA"/>
    <w:lvl w:ilvl="0" w:tplc="2124D73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7"/>
  </w:num>
  <w:num w:numId="6">
    <w:abstractNumId w:val="6"/>
  </w:num>
  <w:num w:numId="7">
    <w:abstractNumId w:val="6"/>
  </w:num>
  <w:num w:numId="8">
    <w:abstractNumId w:val="4"/>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mes Crouch">
    <w15:presenceInfo w15:providerId="AD" w15:userId="S-1-5-21-1784097180-1992662957-2945758234-1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E3"/>
    <w:rsid w:val="00003EC4"/>
    <w:rsid w:val="00004A58"/>
    <w:rsid w:val="00012DEE"/>
    <w:rsid w:val="00013B62"/>
    <w:rsid w:val="00016F43"/>
    <w:rsid w:val="000242B1"/>
    <w:rsid w:val="00030188"/>
    <w:rsid w:val="000359E8"/>
    <w:rsid w:val="00043B10"/>
    <w:rsid w:val="000540D3"/>
    <w:rsid w:val="00065756"/>
    <w:rsid w:val="0006618D"/>
    <w:rsid w:val="00070006"/>
    <w:rsid w:val="00071E77"/>
    <w:rsid w:val="000743E1"/>
    <w:rsid w:val="000840BF"/>
    <w:rsid w:val="00084F28"/>
    <w:rsid w:val="00085EEA"/>
    <w:rsid w:val="00090D57"/>
    <w:rsid w:val="000953D5"/>
    <w:rsid w:val="00096AE3"/>
    <w:rsid w:val="000A23B6"/>
    <w:rsid w:val="000B510C"/>
    <w:rsid w:val="000C2362"/>
    <w:rsid w:val="000C47ED"/>
    <w:rsid w:val="000D0561"/>
    <w:rsid w:val="000D6045"/>
    <w:rsid w:val="000E3146"/>
    <w:rsid w:val="000E4A68"/>
    <w:rsid w:val="000E4ECD"/>
    <w:rsid w:val="000E584C"/>
    <w:rsid w:val="000F60B3"/>
    <w:rsid w:val="001016A4"/>
    <w:rsid w:val="00104A89"/>
    <w:rsid w:val="0011431E"/>
    <w:rsid w:val="00120ECC"/>
    <w:rsid w:val="00122DAE"/>
    <w:rsid w:val="0012644F"/>
    <w:rsid w:val="0012755D"/>
    <w:rsid w:val="00133007"/>
    <w:rsid w:val="00143983"/>
    <w:rsid w:val="0016099F"/>
    <w:rsid w:val="001642D5"/>
    <w:rsid w:val="00164FA7"/>
    <w:rsid w:val="00165294"/>
    <w:rsid w:val="00167DEA"/>
    <w:rsid w:val="0017096E"/>
    <w:rsid w:val="00177C2B"/>
    <w:rsid w:val="0018496F"/>
    <w:rsid w:val="00185964"/>
    <w:rsid w:val="00187D7A"/>
    <w:rsid w:val="00191311"/>
    <w:rsid w:val="001949D1"/>
    <w:rsid w:val="00195448"/>
    <w:rsid w:val="00195492"/>
    <w:rsid w:val="001A1A0D"/>
    <w:rsid w:val="001A7562"/>
    <w:rsid w:val="001B62AA"/>
    <w:rsid w:val="001B718D"/>
    <w:rsid w:val="001C6262"/>
    <w:rsid w:val="001D0F98"/>
    <w:rsid w:val="001D3D66"/>
    <w:rsid w:val="001D6A95"/>
    <w:rsid w:val="001E4B50"/>
    <w:rsid w:val="001F42A0"/>
    <w:rsid w:val="00204853"/>
    <w:rsid w:val="00204980"/>
    <w:rsid w:val="00214638"/>
    <w:rsid w:val="00220674"/>
    <w:rsid w:val="002258F4"/>
    <w:rsid w:val="002311B0"/>
    <w:rsid w:val="00231366"/>
    <w:rsid w:val="00236D9E"/>
    <w:rsid w:val="002622F9"/>
    <w:rsid w:val="00265669"/>
    <w:rsid w:val="00272811"/>
    <w:rsid w:val="002728A4"/>
    <w:rsid w:val="00283E05"/>
    <w:rsid w:val="00285255"/>
    <w:rsid w:val="0028734C"/>
    <w:rsid w:val="00294971"/>
    <w:rsid w:val="00294A9D"/>
    <w:rsid w:val="002A1776"/>
    <w:rsid w:val="002A452F"/>
    <w:rsid w:val="002B0109"/>
    <w:rsid w:val="002B39D1"/>
    <w:rsid w:val="002B5950"/>
    <w:rsid w:val="002C2756"/>
    <w:rsid w:val="002C6F1E"/>
    <w:rsid w:val="002D1529"/>
    <w:rsid w:val="002E14CB"/>
    <w:rsid w:val="002E2F8F"/>
    <w:rsid w:val="002F3FAD"/>
    <w:rsid w:val="002F70D3"/>
    <w:rsid w:val="002F78D6"/>
    <w:rsid w:val="00301876"/>
    <w:rsid w:val="00304137"/>
    <w:rsid w:val="00304E68"/>
    <w:rsid w:val="00310250"/>
    <w:rsid w:val="00312A60"/>
    <w:rsid w:val="0031545A"/>
    <w:rsid w:val="00317CCD"/>
    <w:rsid w:val="00325A84"/>
    <w:rsid w:val="00327E6B"/>
    <w:rsid w:val="00345875"/>
    <w:rsid w:val="00352EFA"/>
    <w:rsid w:val="00353B5C"/>
    <w:rsid w:val="00361A90"/>
    <w:rsid w:val="00361BB6"/>
    <w:rsid w:val="003621AE"/>
    <w:rsid w:val="00364954"/>
    <w:rsid w:val="00366597"/>
    <w:rsid w:val="00371E88"/>
    <w:rsid w:val="00372BBC"/>
    <w:rsid w:val="00375811"/>
    <w:rsid w:val="003770CF"/>
    <w:rsid w:val="0037755F"/>
    <w:rsid w:val="00381553"/>
    <w:rsid w:val="00384D96"/>
    <w:rsid w:val="00387EBF"/>
    <w:rsid w:val="0039323A"/>
    <w:rsid w:val="00394ACE"/>
    <w:rsid w:val="0039787E"/>
    <w:rsid w:val="003A3365"/>
    <w:rsid w:val="003A376A"/>
    <w:rsid w:val="003A4B59"/>
    <w:rsid w:val="003A5CC8"/>
    <w:rsid w:val="003B23E8"/>
    <w:rsid w:val="003C52DE"/>
    <w:rsid w:val="003D00DC"/>
    <w:rsid w:val="003D4348"/>
    <w:rsid w:val="003D4C07"/>
    <w:rsid w:val="003D5BCF"/>
    <w:rsid w:val="003E3C1F"/>
    <w:rsid w:val="003E6A77"/>
    <w:rsid w:val="003F4A1B"/>
    <w:rsid w:val="00404C3F"/>
    <w:rsid w:val="00416BB2"/>
    <w:rsid w:val="00420DE5"/>
    <w:rsid w:val="00431E3C"/>
    <w:rsid w:val="0044576E"/>
    <w:rsid w:val="004506A3"/>
    <w:rsid w:val="00451981"/>
    <w:rsid w:val="00452C59"/>
    <w:rsid w:val="004544A3"/>
    <w:rsid w:val="00454737"/>
    <w:rsid w:val="0045695E"/>
    <w:rsid w:val="00465828"/>
    <w:rsid w:val="0047184D"/>
    <w:rsid w:val="00471EEC"/>
    <w:rsid w:val="00474E71"/>
    <w:rsid w:val="0048151D"/>
    <w:rsid w:val="004820A8"/>
    <w:rsid w:val="00482843"/>
    <w:rsid w:val="00484288"/>
    <w:rsid w:val="00485B13"/>
    <w:rsid w:val="004872AC"/>
    <w:rsid w:val="00487C08"/>
    <w:rsid w:val="00494C4F"/>
    <w:rsid w:val="004A233F"/>
    <w:rsid w:val="004A5CD0"/>
    <w:rsid w:val="004A7729"/>
    <w:rsid w:val="004B5FBA"/>
    <w:rsid w:val="004B6B1A"/>
    <w:rsid w:val="004C46B0"/>
    <w:rsid w:val="004C603F"/>
    <w:rsid w:val="004D268B"/>
    <w:rsid w:val="004D744C"/>
    <w:rsid w:val="004E1D3B"/>
    <w:rsid w:val="004E30FE"/>
    <w:rsid w:val="004E5BDC"/>
    <w:rsid w:val="004F35F7"/>
    <w:rsid w:val="004F697A"/>
    <w:rsid w:val="00503CF9"/>
    <w:rsid w:val="00521A54"/>
    <w:rsid w:val="005221EE"/>
    <w:rsid w:val="005255D8"/>
    <w:rsid w:val="00546BCD"/>
    <w:rsid w:val="00550FA1"/>
    <w:rsid w:val="005513F9"/>
    <w:rsid w:val="00553660"/>
    <w:rsid w:val="0055763A"/>
    <w:rsid w:val="00564F9A"/>
    <w:rsid w:val="0056557C"/>
    <w:rsid w:val="005718E3"/>
    <w:rsid w:val="00572206"/>
    <w:rsid w:val="0057280F"/>
    <w:rsid w:val="0057336F"/>
    <w:rsid w:val="00573F09"/>
    <w:rsid w:val="00583AB7"/>
    <w:rsid w:val="00583E90"/>
    <w:rsid w:val="00585D2B"/>
    <w:rsid w:val="005A36FC"/>
    <w:rsid w:val="005A5651"/>
    <w:rsid w:val="005A7A87"/>
    <w:rsid w:val="005B1771"/>
    <w:rsid w:val="005B49E5"/>
    <w:rsid w:val="005B66E8"/>
    <w:rsid w:val="005B76B3"/>
    <w:rsid w:val="005C3734"/>
    <w:rsid w:val="005C665A"/>
    <w:rsid w:val="005C6F1C"/>
    <w:rsid w:val="005C727F"/>
    <w:rsid w:val="005D2D61"/>
    <w:rsid w:val="005D32FC"/>
    <w:rsid w:val="005D611D"/>
    <w:rsid w:val="005D66CE"/>
    <w:rsid w:val="005D794A"/>
    <w:rsid w:val="005E29F5"/>
    <w:rsid w:val="005E3489"/>
    <w:rsid w:val="005E5420"/>
    <w:rsid w:val="005E6A06"/>
    <w:rsid w:val="005F0236"/>
    <w:rsid w:val="005F2059"/>
    <w:rsid w:val="00620253"/>
    <w:rsid w:val="00622C17"/>
    <w:rsid w:val="00634762"/>
    <w:rsid w:val="00641A13"/>
    <w:rsid w:val="006431E6"/>
    <w:rsid w:val="00654EBC"/>
    <w:rsid w:val="00661F6F"/>
    <w:rsid w:val="00664BFB"/>
    <w:rsid w:val="00671C6B"/>
    <w:rsid w:val="00672A28"/>
    <w:rsid w:val="00674D4B"/>
    <w:rsid w:val="00684150"/>
    <w:rsid w:val="006A2920"/>
    <w:rsid w:val="006B0B87"/>
    <w:rsid w:val="006B1388"/>
    <w:rsid w:val="006B379D"/>
    <w:rsid w:val="006B58FD"/>
    <w:rsid w:val="006C015A"/>
    <w:rsid w:val="006C6578"/>
    <w:rsid w:val="006C67B1"/>
    <w:rsid w:val="006D0EF6"/>
    <w:rsid w:val="006E0CD6"/>
    <w:rsid w:val="006E4591"/>
    <w:rsid w:val="006E4C7F"/>
    <w:rsid w:val="006E5337"/>
    <w:rsid w:val="006F0B4A"/>
    <w:rsid w:val="006F0D29"/>
    <w:rsid w:val="006F4E8F"/>
    <w:rsid w:val="006F5C9A"/>
    <w:rsid w:val="006F7894"/>
    <w:rsid w:val="00701C3F"/>
    <w:rsid w:val="0071130E"/>
    <w:rsid w:val="00721AD3"/>
    <w:rsid w:val="00723DF6"/>
    <w:rsid w:val="007253AB"/>
    <w:rsid w:val="00733F49"/>
    <w:rsid w:val="00741276"/>
    <w:rsid w:val="00751DCF"/>
    <w:rsid w:val="007525FE"/>
    <w:rsid w:val="00760E99"/>
    <w:rsid w:val="00766155"/>
    <w:rsid w:val="007664CE"/>
    <w:rsid w:val="00770875"/>
    <w:rsid w:val="00771690"/>
    <w:rsid w:val="0077363E"/>
    <w:rsid w:val="00777FEF"/>
    <w:rsid w:val="007803ED"/>
    <w:rsid w:val="00783026"/>
    <w:rsid w:val="00783AE3"/>
    <w:rsid w:val="0079006D"/>
    <w:rsid w:val="007904CA"/>
    <w:rsid w:val="00794217"/>
    <w:rsid w:val="007949C2"/>
    <w:rsid w:val="007959C0"/>
    <w:rsid w:val="00796FC1"/>
    <w:rsid w:val="007A1030"/>
    <w:rsid w:val="007A6776"/>
    <w:rsid w:val="007B53B9"/>
    <w:rsid w:val="007B70E0"/>
    <w:rsid w:val="007B7315"/>
    <w:rsid w:val="007D6D9F"/>
    <w:rsid w:val="007E307A"/>
    <w:rsid w:val="007F16EE"/>
    <w:rsid w:val="007F2AAB"/>
    <w:rsid w:val="007F4C29"/>
    <w:rsid w:val="008047B2"/>
    <w:rsid w:val="00807C9D"/>
    <w:rsid w:val="0081097A"/>
    <w:rsid w:val="008127F5"/>
    <w:rsid w:val="00821D13"/>
    <w:rsid w:val="008261EE"/>
    <w:rsid w:val="00826AF2"/>
    <w:rsid w:val="00826D29"/>
    <w:rsid w:val="00834879"/>
    <w:rsid w:val="0084386B"/>
    <w:rsid w:val="00852C46"/>
    <w:rsid w:val="00854482"/>
    <w:rsid w:val="00855BA6"/>
    <w:rsid w:val="008653CA"/>
    <w:rsid w:val="00872F17"/>
    <w:rsid w:val="00874C20"/>
    <w:rsid w:val="0087524E"/>
    <w:rsid w:val="008763F0"/>
    <w:rsid w:val="00881A71"/>
    <w:rsid w:val="0088681C"/>
    <w:rsid w:val="00887E4F"/>
    <w:rsid w:val="00891AB9"/>
    <w:rsid w:val="00892AC8"/>
    <w:rsid w:val="008941BE"/>
    <w:rsid w:val="00895B32"/>
    <w:rsid w:val="0089673C"/>
    <w:rsid w:val="008A1C02"/>
    <w:rsid w:val="008A2FCF"/>
    <w:rsid w:val="008A4C57"/>
    <w:rsid w:val="008B33B7"/>
    <w:rsid w:val="008C05AB"/>
    <w:rsid w:val="008C6998"/>
    <w:rsid w:val="008E45B7"/>
    <w:rsid w:val="008F26F8"/>
    <w:rsid w:val="008F5517"/>
    <w:rsid w:val="00912BF4"/>
    <w:rsid w:val="0091427F"/>
    <w:rsid w:val="00915186"/>
    <w:rsid w:val="00923034"/>
    <w:rsid w:val="00926827"/>
    <w:rsid w:val="00940F75"/>
    <w:rsid w:val="00941B64"/>
    <w:rsid w:val="00945B9C"/>
    <w:rsid w:val="0095194E"/>
    <w:rsid w:val="00953C92"/>
    <w:rsid w:val="009607DE"/>
    <w:rsid w:val="00973771"/>
    <w:rsid w:val="009876B6"/>
    <w:rsid w:val="009913D1"/>
    <w:rsid w:val="009926E6"/>
    <w:rsid w:val="00994B4D"/>
    <w:rsid w:val="009950B8"/>
    <w:rsid w:val="00996C0E"/>
    <w:rsid w:val="009A146E"/>
    <w:rsid w:val="009B0F7C"/>
    <w:rsid w:val="009B16B2"/>
    <w:rsid w:val="009B3ED4"/>
    <w:rsid w:val="009B52C3"/>
    <w:rsid w:val="009C07AE"/>
    <w:rsid w:val="009C5EC3"/>
    <w:rsid w:val="009D0986"/>
    <w:rsid w:val="009D6521"/>
    <w:rsid w:val="009D7D56"/>
    <w:rsid w:val="009E0B64"/>
    <w:rsid w:val="009E4142"/>
    <w:rsid w:val="009E4267"/>
    <w:rsid w:val="00A07537"/>
    <w:rsid w:val="00A1447D"/>
    <w:rsid w:val="00A16F08"/>
    <w:rsid w:val="00A24BAE"/>
    <w:rsid w:val="00A26072"/>
    <w:rsid w:val="00A32948"/>
    <w:rsid w:val="00A52E2A"/>
    <w:rsid w:val="00A5535B"/>
    <w:rsid w:val="00A56F9F"/>
    <w:rsid w:val="00A600D7"/>
    <w:rsid w:val="00A62B2C"/>
    <w:rsid w:val="00A72A88"/>
    <w:rsid w:val="00A7531D"/>
    <w:rsid w:val="00A77A78"/>
    <w:rsid w:val="00A81261"/>
    <w:rsid w:val="00A846D9"/>
    <w:rsid w:val="00A864FC"/>
    <w:rsid w:val="00A91386"/>
    <w:rsid w:val="00A93A0F"/>
    <w:rsid w:val="00A94C67"/>
    <w:rsid w:val="00A96F4E"/>
    <w:rsid w:val="00AA4EE3"/>
    <w:rsid w:val="00AB54F9"/>
    <w:rsid w:val="00AC31AE"/>
    <w:rsid w:val="00AC6F7D"/>
    <w:rsid w:val="00AD09A1"/>
    <w:rsid w:val="00AD17EC"/>
    <w:rsid w:val="00AD26A0"/>
    <w:rsid w:val="00AE0CFF"/>
    <w:rsid w:val="00AF343A"/>
    <w:rsid w:val="00AF40B0"/>
    <w:rsid w:val="00AF4576"/>
    <w:rsid w:val="00B01976"/>
    <w:rsid w:val="00B06AE4"/>
    <w:rsid w:val="00B13C39"/>
    <w:rsid w:val="00B15507"/>
    <w:rsid w:val="00B17A76"/>
    <w:rsid w:val="00B21937"/>
    <w:rsid w:val="00B31D0A"/>
    <w:rsid w:val="00B33931"/>
    <w:rsid w:val="00B416F0"/>
    <w:rsid w:val="00B569FF"/>
    <w:rsid w:val="00B62CD5"/>
    <w:rsid w:val="00B6635A"/>
    <w:rsid w:val="00B7298C"/>
    <w:rsid w:val="00B7655A"/>
    <w:rsid w:val="00B84EC9"/>
    <w:rsid w:val="00B903E4"/>
    <w:rsid w:val="00B96166"/>
    <w:rsid w:val="00BA0052"/>
    <w:rsid w:val="00BA447A"/>
    <w:rsid w:val="00BA59EE"/>
    <w:rsid w:val="00BB0E42"/>
    <w:rsid w:val="00BB2AED"/>
    <w:rsid w:val="00BB4BB1"/>
    <w:rsid w:val="00BD48F8"/>
    <w:rsid w:val="00BE1EF9"/>
    <w:rsid w:val="00BE48AE"/>
    <w:rsid w:val="00C059F3"/>
    <w:rsid w:val="00C0699A"/>
    <w:rsid w:val="00C0780C"/>
    <w:rsid w:val="00C1785E"/>
    <w:rsid w:val="00C17C20"/>
    <w:rsid w:val="00C2636A"/>
    <w:rsid w:val="00C42E4D"/>
    <w:rsid w:val="00C46A02"/>
    <w:rsid w:val="00C4784E"/>
    <w:rsid w:val="00C73C16"/>
    <w:rsid w:val="00C74C4E"/>
    <w:rsid w:val="00C778EA"/>
    <w:rsid w:val="00C82EC9"/>
    <w:rsid w:val="00C871FB"/>
    <w:rsid w:val="00C90941"/>
    <w:rsid w:val="00C90EA7"/>
    <w:rsid w:val="00CA728A"/>
    <w:rsid w:val="00CB07F5"/>
    <w:rsid w:val="00CB1BCE"/>
    <w:rsid w:val="00CB4B67"/>
    <w:rsid w:val="00CC2030"/>
    <w:rsid w:val="00CC32EC"/>
    <w:rsid w:val="00CD3617"/>
    <w:rsid w:val="00CD4673"/>
    <w:rsid w:val="00CE1CF7"/>
    <w:rsid w:val="00CE4678"/>
    <w:rsid w:val="00CF4874"/>
    <w:rsid w:val="00CF77AE"/>
    <w:rsid w:val="00D0163E"/>
    <w:rsid w:val="00D120A0"/>
    <w:rsid w:val="00D13E74"/>
    <w:rsid w:val="00D2787C"/>
    <w:rsid w:val="00D30684"/>
    <w:rsid w:val="00D4055E"/>
    <w:rsid w:val="00D5602F"/>
    <w:rsid w:val="00D579D0"/>
    <w:rsid w:val="00D620DE"/>
    <w:rsid w:val="00D63A35"/>
    <w:rsid w:val="00D63E15"/>
    <w:rsid w:val="00D65A34"/>
    <w:rsid w:val="00D663D9"/>
    <w:rsid w:val="00D75164"/>
    <w:rsid w:val="00D83C64"/>
    <w:rsid w:val="00D84A3D"/>
    <w:rsid w:val="00D9265A"/>
    <w:rsid w:val="00D97311"/>
    <w:rsid w:val="00D976D6"/>
    <w:rsid w:val="00DA2E9C"/>
    <w:rsid w:val="00DB1872"/>
    <w:rsid w:val="00DB4250"/>
    <w:rsid w:val="00DC3B15"/>
    <w:rsid w:val="00DC5BAD"/>
    <w:rsid w:val="00DD0D14"/>
    <w:rsid w:val="00DD248D"/>
    <w:rsid w:val="00DE0461"/>
    <w:rsid w:val="00DE1C5C"/>
    <w:rsid w:val="00DE6858"/>
    <w:rsid w:val="00DF0978"/>
    <w:rsid w:val="00DF4F71"/>
    <w:rsid w:val="00DF6A15"/>
    <w:rsid w:val="00E1352D"/>
    <w:rsid w:val="00E21233"/>
    <w:rsid w:val="00E229D9"/>
    <w:rsid w:val="00E239AA"/>
    <w:rsid w:val="00E33981"/>
    <w:rsid w:val="00E456DB"/>
    <w:rsid w:val="00E55BCD"/>
    <w:rsid w:val="00E576C2"/>
    <w:rsid w:val="00E62515"/>
    <w:rsid w:val="00E7184E"/>
    <w:rsid w:val="00E87268"/>
    <w:rsid w:val="00E92698"/>
    <w:rsid w:val="00EA00FF"/>
    <w:rsid w:val="00EA2831"/>
    <w:rsid w:val="00EB4511"/>
    <w:rsid w:val="00EB4580"/>
    <w:rsid w:val="00EB7152"/>
    <w:rsid w:val="00EC1A7D"/>
    <w:rsid w:val="00EC31C3"/>
    <w:rsid w:val="00EC56F0"/>
    <w:rsid w:val="00EC7DF3"/>
    <w:rsid w:val="00ED3430"/>
    <w:rsid w:val="00ED48A6"/>
    <w:rsid w:val="00ED6240"/>
    <w:rsid w:val="00ED7008"/>
    <w:rsid w:val="00EE1A32"/>
    <w:rsid w:val="00EE7711"/>
    <w:rsid w:val="00F00A5D"/>
    <w:rsid w:val="00F047F4"/>
    <w:rsid w:val="00F0772B"/>
    <w:rsid w:val="00F1044C"/>
    <w:rsid w:val="00F12168"/>
    <w:rsid w:val="00F13598"/>
    <w:rsid w:val="00F1463F"/>
    <w:rsid w:val="00F176E7"/>
    <w:rsid w:val="00F20504"/>
    <w:rsid w:val="00F20DC8"/>
    <w:rsid w:val="00F21AE1"/>
    <w:rsid w:val="00F35BB1"/>
    <w:rsid w:val="00F52E91"/>
    <w:rsid w:val="00F55E4F"/>
    <w:rsid w:val="00F56394"/>
    <w:rsid w:val="00F60A48"/>
    <w:rsid w:val="00F633A3"/>
    <w:rsid w:val="00F66867"/>
    <w:rsid w:val="00F6712B"/>
    <w:rsid w:val="00F703B0"/>
    <w:rsid w:val="00F707B1"/>
    <w:rsid w:val="00F8646A"/>
    <w:rsid w:val="00F91AEA"/>
    <w:rsid w:val="00F91FDE"/>
    <w:rsid w:val="00F96A69"/>
    <w:rsid w:val="00FB1EC1"/>
    <w:rsid w:val="00FC12E4"/>
    <w:rsid w:val="00FC168C"/>
    <w:rsid w:val="00FC70D3"/>
    <w:rsid w:val="00FD31C7"/>
    <w:rsid w:val="00FD6D7D"/>
    <w:rsid w:val="00FE63DE"/>
    <w:rsid w:val="00FE70D6"/>
    <w:rsid w:val="00FF1260"/>
    <w:rsid w:val="00FF1B78"/>
    <w:rsid w:val="00FF43B2"/>
    <w:rsid w:val="00FF5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6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EE3"/>
  </w:style>
  <w:style w:type="paragraph" w:styleId="Footer">
    <w:name w:val="footer"/>
    <w:basedOn w:val="Normal"/>
    <w:link w:val="FooterChar"/>
    <w:uiPriority w:val="99"/>
    <w:unhideWhenUsed/>
    <w:rsid w:val="00AA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EE3"/>
  </w:style>
  <w:style w:type="paragraph" w:styleId="BalloonText">
    <w:name w:val="Balloon Text"/>
    <w:basedOn w:val="Normal"/>
    <w:link w:val="BalloonTextChar"/>
    <w:uiPriority w:val="99"/>
    <w:semiHidden/>
    <w:unhideWhenUsed/>
    <w:rsid w:val="00AA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EE3"/>
    <w:rPr>
      <w:rFonts w:ascii="Tahoma" w:hAnsi="Tahoma" w:cs="Tahoma"/>
      <w:sz w:val="16"/>
      <w:szCs w:val="16"/>
    </w:rPr>
  </w:style>
  <w:style w:type="paragraph" w:styleId="ListParagraph">
    <w:name w:val="List Paragraph"/>
    <w:basedOn w:val="Normal"/>
    <w:link w:val="ListParagraphChar"/>
    <w:uiPriority w:val="34"/>
    <w:qFormat/>
    <w:rsid w:val="00AA4EE3"/>
    <w:pPr>
      <w:ind w:left="720"/>
      <w:contextualSpacing/>
    </w:pPr>
  </w:style>
  <w:style w:type="character" w:styleId="Hyperlink">
    <w:name w:val="Hyperlink"/>
    <w:basedOn w:val="DefaultParagraphFont"/>
    <w:uiPriority w:val="99"/>
    <w:unhideWhenUsed/>
    <w:rsid w:val="00AA4EE3"/>
    <w:rPr>
      <w:color w:val="0000FF" w:themeColor="hyperlink"/>
      <w:u w:val="single"/>
    </w:rPr>
  </w:style>
  <w:style w:type="paragraph" w:styleId="Revision">
    <w:name w:val="Revision"/>
    <w:hidden/>
    <w:uiPriority w:val="99"/>
    <w:semiHidden/>
    <w:rsid w:val="00760E99"/>
    <w:pPr>
      <w:spacing w:after="0" w:line="240" w:lineRule="auto"/>
    </w:pPr>
  </w:style>
  <w:style w:type="character" w:styleId="CommentReference">
    <w:name w:val="annotation reference"/>
    <w:basedOn w:val="DefaultParagraphFont"/>
    <w:uiPriority w:val="99"/>
    <w:semiHidden/>
    <w:unhideWhenUsed/>
    <w:rsid w:val="009A146E"/>
    <w:rPr>
      <w:sz w:val="16"/>
      <w:szCs w:val="16"/>
    </w:rPr>
  </w:style>
  <w:style w:type="paragraph" w:styleId="CommentText">
    <w:name w:val="annotation text"/>
    <w:basedOn w:val="Normal"/>
    <w:link w:val="CommentTextChar"/>
    <w:uiPriority w:val="99"/>
    <w:unhideWhenUsed/>
    <w:rsid w:val="009A146E"/>
    <w:pPr>
      <w:spacing w:line="240" w:lineRule="auto"/>
    </w:pPr>
    <w:rPr>
      <w:sz w:val="20"/>
      <w:szCs w:val="20"/>
    </w:rPr>
  </w:style>
  <w:style w:type="character" w:customStyle="1" w:styleId="CommentTextChar">
    <w:name w:val="Comment Text Char"/>
    <w:basedOn w:val="DefaultParagraphFont"/>
    <w:link w:val="CommentText"/>
    <w:uiPriority w:val="99"/>
    <w:rsid w:val="009A146E"/>
    <w:rPr>
      <w:sz w:val="20"/>
      <w:szCs w:val="20"/>
    </w:rPr>
  </w:style>
  <w:style w:type="paragraph" w:styleId="CommentSubject">
    <w:name w:val="annotation subject"/>
    <w:basedOn w:val="CommentText"/>
    <w:next w:val="CommentText"/>
    <w:link w:val="CommentSubjectChar"/>
    <w:uiPriority w:val="99"/>
    <w:semiHidden/>
    <w:unhideWhenUsed/>
    <w:rsid w:val="009A146E"/>
    <w:rPr>
      <w:b/>
      <w:bCs/>
    </w:rPr>
  </w:style>
  <w:style w:type="character" w:customStyle="1" w:styleId="CommentSubjectChar">
    <w:name w:val="Comment Subject Char"/>
    <w:basedOn w:val="CommentTextChar"/>
    <w:link w:val="CommentSubject"/>
    <w:uiPriority w:val="99"/>
    <w:semiHidden/>
    <w:rsid w:val="009A146E"/>
    <w:rPr>
      <w:b/>
      <w:bCs/>
      <w:sz w:val="20"/>
      <w:szCs w:val="20"/>
    </w:rPr>
  </w:style>
  <w:style w:type="character" w:customStyle="1" w:styleId="ListParagraphChar">
    <w:name w:val="List Paragraph Char"/>
    <w:basedOn w:val="DefaultParagraphFont"/>
    <w:link w:val="ListParagraph"/>
    <w:uiPriority w:val="34"/>
    <w:rsid w:val="00CE1CF7"/>
  </w:style>
  <w:style w:type="character" w:styleId="FollowedHyperlink">
    <w:name w:val="FollowedHyperlink"/>
    <w:basedOn w:val="DefaultParagraphFont"/>
    <w:uiPriority w:val="99"/>
    <w:semiHidden/>
    <w:unhideWhenUsed/>
    <w:rsid w:val="007D6D9F"/>
    <w:rPr>
      <w:color w:val="800080" w:themeColor="followedHyperlink"/>
      <w:u w:val="single"/>
    </w:rPr>
  </w:style>
  <w:style w:type="table" w:styleId="TableGrid">
    <w:name w:val="Table Grid"/>
    <w:basedOn w:val="TableNormal"/>
    <w:uiPriority w:val="59"/>
    <w:rsid w:val="00F1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EE3"/>
  </w:style>
  <w:style w:type="paragraph" w:styleId="Footer">
    <w:name w:val="footer"/>
    <w:basedOn w:val="Normal"/>
    <w:link w:val="FooterChar"/>
    <w:uiPriority w:val="99"/>
    <w:unhideWhenUsed/>
    <w:rsid w:val="00AA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EE3"/>
  </w:style>
  <w:style w:type="paragraph" w:styleId="BalloonText">
    <w:name w:val="Balloon Text"/>
    <w:basedOn w:val="Normal"/>
    <w:link w:val="BalloonTextChar"/>
    <w:uiPriority w:val="99"/>
    <w:semiHidden/>
    <w:unhideWhenUsed/>
    <w:rsid w:val="00AA4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EE3"/>
    <w:rPr>
      <w:rFonts w:ascii="Tahoma" w:hAnsi="Tahoma" w:cs="Tahoma"/>
      <w:sz w:val="16"/>
      <w:szCs w:val="16"/>
    </w:rPr>
  </w:style>
  <w:style w:type="paragraph" w:styleId="ListParagraph">
    <w:name w:val="List Paragraph"/>
    <w:basedOn w:val="Normal"/>
    <w:link w:val="ListParagraphChar"/>
    <w:uiPriority w:val="34"/>
    <w:qFormat/>
    <w:rsid w:val="00AA4EE3"/>
    <w:pPr>
      <w:ind w:left="720"/>
      <w:contextualSpacing/>
    </w:pPr>
  </w:style>
  <w:style w:type="character" w:styleId="Hyperlink">
    <w:name w:val="Hyperlink"/>
    <w:basedOn w:val="DefaultParagraphFont"/>
    <w:uiPriority w:val="99"/>
    <w:unhideWhenUsed/>
    <w:rsid w:val="00AA4EE3"/>
    <w:rPr>
      <w:color w:val="0000FF" w:themeColor="hyperlink"/>
      <w:u w:val="single"/>
    </w:rPr>
  </w:style>
  <w:style w:type="paragraph" w:styleId="Revision">
    <w:name w:val="Revision"/>
    <w:hidden/>
    <w:uiPriority w:val="99"/>
    <w:semiHidden/>
    <w:rsid w:val="00760E99"/>
    <w:pPr>
      <w:spacing w:after="0" w:line="240" w:lineRule="auto"/>
    </w:pPr>
  </w:style>
  <w:style w:type="character" w:styleId="CommentReference">
    <w:name w:val="annotation reference"/>
    <w:basedOn w:val="DefaultParagraphFont"/>
    <w:uiPriority w:val="99"/>
    <w:semiHidden/>
    <w:unhideWhenUsed/>
    <w:rsid w:val="009A146E"/>
    <w:rPr>
      <w:sz w:val="16"/>
      <w:szCs w:val="16"/>
    </w:rPr>
  </w:style>
  <w:style w:type="paragraph" w:styleId="CommentText">
    <w:name w:val="annotation text"/>
    <w:basedOn w:val="Normal"/>
    <w:link w:val="CommentTextChar"/>
    <w:uiPriority w:val="99"/>
    <w:unhideWhenUsed/>
    <w:rsid w:val="009A146E"/>
    <w:pPr>
      <w:spacing w:line="240" w:lineRule="auto"/>
    </w:pPr>
    <w:rPr>
      <w:sz w:val="20"/>
      <w:szCs w:val="20"/>
    </w:rPr>
  </w:style>
  <w:style w:type="character" w:customStyle="1" w:styleId="CommentTextChar">
    <w:name w:val="Comment Text Char"/>
    <w:basedOn w:val="DefaultParagraphFont"/>
    <w:link w:val="CommentText"/>
    <w:uiPriority w:val="99"/>
    <w:rsid w:val="009A146E"/>
    <w:rPr>
      <w:sz w:val="20"/>
      <w:szCs w:val="20"/>
    </w:rPr>
  </w:style>
  <w:style w:type="paragraph" w:styleId="CommentSubject">
    <w:name w:val="annotation subject"/>
    <w:basedOn w:val="CommentText"/>
    <w:next w:val="CommentText"/>
    <w:link w:val="CommentSubjectChar"/>
    <w:uiPriority w:val="99"/>
    <w:semiHidden/>
    <w:unhideWhenUsed/>
    <w:rsid w:val="009A146E"/>
    <w:rPr>
      <w:b/>
      <w:bCs/>
    </w:rPr>
  </w:style>
  <w:style w:type="character" w:customStyle="1" w:styleId="CommentSubjectChar">
    <w:name w:val="Comment Subject Char"/>
    <w:basedOn w:val="CommentTextChar"/>
    <w:link w:val="CommentSubject"/>
    <w:uiPriority w:val="99"/>
    <w:semiHidden/>
    <w:rsid w:val="009A146E"/>
    <w:rPr>
      <w:b/>
      <w:bCs/>
      <w:sz w:val="20"/>
      <w:szCs w:val="20"/>
    </w:rPr>
  </w:style>
  <w:style w:type="character" w:customStyle="1" w:styleId="ListParagraphChar">
    <w:name w:val="List Paragraph Char"/>
    <w:basedOn w:val="DefaultParagraphFont"/>
    <w:link w:val="ListParagraph"/>
    <w:uiPriority w:val="34"/>
    <w:rsid w:val="00CE1CF7"/>
  </w:style>
  <w:style w:type="character" w:styleId="FollowedHyperlink">
    <w:name w:val="FollowedHyperlink"/>
    <w:basedOn w:val="DefaultParagraphFont"/>
    <w:uiPriority w:val="99"/>
    <w:semiHidden/>
    <w:unhideWhenUsed/>
    <w:rsid w:val="007D6D9F"/>
    <w:rPr>
      <w:color w:val="800080" w:themeColor="followedHyperlink"/>
      <w:u w:val="single"/>
    </w:rPr>
  </w:style>
  <w:style w:type="table" w:styleId="TableGrid">
    <w:name w:val="Table Grid"/>
    <w:basedOn w:val="TableNormal"/>
    <w:uiPriority w:val="59"/>
    <w:rsid w:val="00F1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443">
      <w:bodyDiv w:val="1"/>
      <w:marLeft w:val="0"/>
      <w:marRight w:val="0"/>
      <w:marTop w:val="0"/>
      <w:marBottom w:val="0"/>
      <w:divBdr>
        <w:top w:val="none" w:sz="0" w:space="0" w:color="auto"/>
        <w:left w:val="none" w:sz="0" w:space="0" w:color="auto"/>
        <w:bottom w:val="none" w:sz="0" w:space="0" w:color="auto"/>
        <w:right w:val="none" w:sz="0" w:space="0" w:color="auto"/>
      </w:divBdr>
      <w:divsChild>
        <w:div w:id="1533686888">
          <w:marLeft w:val="547"/>
          <w:marRight w:val="0"/>
          <w:marTop w:val="200"/>
          <w:marBottom w:val="0"/>
          <w:divBdr>
            <w:top w:val="none" w:sz="0" w:space="0" w:color="auto"/>
            <w:left w:val="none" w:sz="0" w:space="0" w:color="auto"/>
            <w:bottom w:val="none" w:sz="0" w:space="0" w:color="auto"/>
            <w:right w:val="none" w:sz="0" w:space="0" w:color="auto"/>
          </w:divBdr>
        </w:div>
      </w:divsChild>
    </w:div>
    <w:div w:id="95713535">
      <w:bodyDiv w:val="1"/>
      <w:marLeft w:val="0"/>
      <w:marRight w:val="0"/>
      <w:marTop w:val="0"/>
      <w:marBottom w:val="0"/>
      <w:divBdr>
        <w:top w:val="none" w:sz="0" w:space="0" w:color="auto"/>
        <w:left w:val="none" w:sz="0" w:space="0" w:color="auto"/>
        <w:bottom w:val="none" w:sz="0" w:space="0" w:color="auto"/>
        <w:right w:val="none" w:sz="0" w:space="0" w:color="auto"/>
      </w:divBdr>
    </w:div>
    <w:div w:id="174659075">
      <w:bodyDiv w:val="1"/>
      <w:marLeft w:val="0"/>
      <w:marRight w:val="0"/>
      <w:marTop w:val="0"/>
      <w:marBottom w:val="0"/>
      <w:divBdr>
        <w:top w:val="none" w:sz="0" w:space="0" w:color="auto"/>
        <w:left w:val="none" w:sz="0" w:space="0" w:color="auto"/>
        <w:bottom w:val="none" w:sz="0" w:space="0" w:color="auto"/>
        <w:right w:val="none" w:sz="0" w:space="0" w:color="auto"/>
      </w:divBdr>
    </w:div>
    <w:div w:id="266087776">
      <w:bodyDiv w:val="1"/>
      <w:marLeft w:val="0"/>
      <w:marRight w:val="0"/>
      <w:marTop w:val="0"/>
      <w:marBottom w:val="0"/>
      <w:divBdr>
        <w:top w:val="none" w:sz="0" w:space="0" w:color="auto"/>
        <w:left w:val="none" w:sz="0" w:space="0" w:color="auto"/>
        <w:bottom w:val="none" w:sz="0" w:space="0" w:color="auto"/>
        <w:right w:val="none" w:sz="0" w:space="0" w:color="auto"/>
      </w:divBdr>
    </w:div>
    <w:div w:id="282158369">
      <w:bodyDiv w:val="1"/>
      <w:marLeft w:val="0"/>
      <w:marRight w:val="0"/>
      <w:marTop w:val="0"/>
      <w:marBottom w:val="0"/>
      <w:divBdr>
        <w:top w:val="none" w:sz="0" w:space="0" w:color="auto"/>
        <w:left w:val="none" w:sz="0" w:space="0" w:color="auto"/>
        <w:bottom w:val="none" w:sz="0" w:space="0" w:color="auto"/>
        <w:right w:val="none" w:sz="0" w:space="0" w:color="auto"/>
      </w:divBdr>
    </w:div>
    <w:div w:id="299264569">
      <w:bodyDiv w:val="1"/>
      <w:marLeft w:val="0"/>
      <w:marRight w:val="0"/>
      <w:marTop w:val="0"/>
      <w:marBottom w:val="0"/>
      <w:divBdr>
        <w:top w:val="none" w:sz="0" w:space="0" w:color="auto"/>
        <w:left w:val="none" w:sz="0" w:space="0" w:color="auto"/>
        <w:bottom w:val="none" w:sz="0" w:space="0" w:color="auto"/>
        <w:right w:val="none" w:sz="0" w:space="0" w:color="auto"/>
      </w:divBdr>
    </w:div>
    <w:div w:id="357203093">
      <w:bodyDiv w:val="1"/>
      <w:marLeft w:val="0"/>
      <w:marRight w:val="0"/>
      <w:marTop w:val="0"/>
      <w:marBottom w:val="0"/>
      <w:divBdr>
        <w:top w:val="none" w:sz="0" w:space="0" w:color="auto"/>
        <w:left w:val="none" w:sz="0" w:space="0" w:color="auto"/>
        <w:bottom w:val="none" w:sz="0" w:space="0" w:color="auto"/>
        <w:right w:val="none" w:sz="0" w:space="0" w:color="auto"/>
      </w:divBdr>
    </w:div>
    <w:div w:id="358360951">
      <w:bodyDiv w:val="1"/>
      <w:marLeft w:val="0"/>
      <w:marRight w:val="0"/>
      <w:marTop w:val="0"/>
      <w:marBottom w:val="0"/>
      <w:divBdr>
        <w:top w:val="none" w:sz="0" w:space="0" w:color="auto"/>
        <w:left w:val="none" w:sz="0" w:space="0" w:color="auto"/>
        <w:bottom w:val="none" w:sz="0" w:space="0" w:color="auto"/>
        <w:right w:val="none" w:sz="0" w:space="0" w:color="auto"/>
      </w:divBdr>
    </w:div>
    <w:div w:id="360014435">
      <w:bodyDiv w:val="1"/>
      <w:marLeft w:val="0"/>
      <w:marRight w:val="0"/>
      <w:marTop w:val="0"/>
      <w:marBottom w:val="0"/>
      <w:divBdr>
        <w:top w:val="none" w:sz="0" w:space="0" w:color="auto"/>
        <w:left w:val="none" w:sz="0" w:space="0" w:color="auto"/>
        <w:bottom w:val="none" w:sz="0" w:space="0" w:color="auto"/>
        <w:right w:val="none" w:sz="0" w:space="0" w:color="auto"/>
      </w:divBdr>
    </w:div>
    <w:div w:id="398090823">
      <w:bodyDiv w:val="1"/>
      <w:marLeft w:val="0"/>
      <w:marRight w:val="0"/>
      <w:marTop w:val="0"/>
      <w:marBottom w:val="0"/>
      <w:divBdr>
        <w:top w:val="none" w:sz="0" w:space="0" w:color="auto"/>
        <w:left w:val="none" w:sz="0" w:space="0" w:color="auto"/>
        <w:bottom w:val="none" w:sz="0" w:space="0" w:color="auto"/>
        <w:right w:val="none" w:sz="0" w:space="0" w:color="auto"/>
      </w:divBdr>
    </w:div>
    <w:div w:id="407920026">
      <w:bodyDiv w:val="1"/>
      <w:marLeft w:val="0"/>
      <w:marRight w:val="0"/>
      <w:marTop w:val="0"/>
      <w:marBottom w:val="0"/>
      <w:divBdr>
        <w:top w:val="none" w:sz="0" w:space="0" w:color="auto"/>
        <w:left w:val="none" w:sz="0" w:space="0" w:color="auto"/>
        <w:bottom w:val="none" w:sz="0" w:space="0" w:color="auto"/>
        <w:right w:val="none" w:sz="0" w:space="0" w:color="auto"/>
      </w:divBdr>
    </w:div>
    <w:div w:id="430901512">
      <w:bodyDiv w:val="1"/>
      <w:marLeft w:val="0"/>
      <w:marRight w:val="0"/>
      <w:marTop w:val="0"/>
      <w:marBottom w:val="0"/>
      <w:divBdr>
        <w:top w:val="none" w:sz="0" w:space="0" w:color="auto"/>
        <w:left w:val="none" w:sz="0" w:space="0" w:color="auto"/>
        <w:bottom w:val="none" w:sz="0" w:space="0" w:color="auto"/>
        <w:right w:val="none" w:sz="0" w:space="0" w:color="auto"/>
      </w:divBdr>
    </w:div>
    <w:div w:id="468667720">
      <w:bodyDiv w:val="1"/>
      <w:marLeft w:val="0"/>
      <w:marRight w:val="0"/>
      <w:marTop w:val="0"/>
      <w:marBottom w:val="0"/>
      <w:divBdr>
        <w:top w:val="none" w:sz="0" w:space="0" w:color="auto"/>
        <w:left w:val="none" w:sz="0" w:space="0" w:color="auto"/>
        <w:bottom w:val="none" w:sz="0" w:space="0" w:color="auto"/>
        <w:right w:val="none" w:sz="0" w:space="0" w:color="auto"/>
      </w:divBdr>
    </w:div>
    <w:div w:id="516164726">
      <w:bodyDiv w:val="1"/>
      <w:marLeft w:val="0"/>
      <w:marRight w:val="0"/>
      <w:marTop w:val="0"/>
      <w:marBottom w:val="0"/>
      <w:divBdr>
        <w:top w:val="none" w:sz="0" w:space="0" w:color="auto"/>
        <w:left w:val="none" w:sz="0" w:space="0" w:color="auto"/>
        <w:bottom w:val="none" w:sz="0" w:space="0" w:color="auto"/>
        <w:right w:val="none" w:sz="0" w:space="0" w:color="auto"/>
      </w:divBdr>
    </w:div>
    <w:div w:id="584219170">
      <w:bodyDiv w:val="1"/>
      <w:marLeft w:val="0"/>
      <w:marRight w:val="0"/>
      <w:marTop w:val="0"/>
      <w:marBottom w:val="0"/>
      <w:divBdr>
        <w:top w:val="none" w:sz="0" w:space="0" w:color="auto"/>
        <w:left w:val="none" w:sz="0" w:space="0" w:color="auto"/>
        <w:bottom w:val="none" w:sz="0" w:space="0" w:color="auto"/>
        <w:right w:val="none" w:sz="0" w:space="0" w:color="auto"/>
      </w:divBdr>
    </w:div>
    <w:div w:id="684478504">
      <w:bodyDiv w:val="1"/>
      <w:marLeft w:val="0"/>
      <w:marRight w:val="0"/>
      <w:marTop w:val="0"/>
      <w:marBottom w:val="0"/>
      <w:divBdr>
        <w:top w:val="none" w:sz="0" w:space="0" w:color="auto"/>
        <w:left w:val="none" w:sz="0" w:space="0" w:color="auto"/>
        <w:bottom w:val="none" w:sz="0" w:space="0" w:color="auto"/>
        <w:right w:val="none" w:sz="0" w:space="0" w:color="auto"/>
      </w:divBdr>
    </w:div>
    <w:div w:id="720787645">
      <w:bodyDiv w:val="1"/>
      <w:marLeft w:val="0"/>
      <w:marRight w:val="0"/>
      <w:marTop w:val="0"/>
      <w:marBottom w:val="0"/>
      <w:divBdr>
        <w:top w:val="none" w:sz="0" w:space="0" w:color="auto"/>
        <w:left w:val="none" w:sz="0" w:space="0" w:color="auto"/>
        <w:bottom w:val="none" w:sz="0" w:space="0" w:color="auto"/>
        <w:right w:val="none" w:sz="0" w:space="0" w:color="auto"/>
      </w:divBdr>
    </w:div>
    <w:div w:id="803043373">
      <w:bodyDiv w:val="1"/>
      <w:marLeft w:val="0"/>
      <w:marRight w:val="0"/>
      <w:marTop w:val="0"/>
      <w:marBottom w:val="0"/>
      <w:divBdr>
        <w:top w:val="none" w:sz="0" w:space="0" w:color="auto"/>
        <w:left w:val="none" w:sz="0" w:space="0" w:color="auto"/>
        <w:bottom w:val="none" w:sz="0" w:space="0" w:color="auto"/>
        <w:right w:val="none" w:sz="0" w:space="0" w:color="auto"/>
      </w:divBdr>
    </w:div>
    <w:div w:id="902713783">
      <w:bodyDiv w:val="1"/>
      <w:marLeft w:val="0"/>
      <w:marRight w:val="0"/>
      <w:marTop w:val="0"/>
      <w:marBottom w:val="0"/>
      <w:divBdr>
        <w:top w:val="none" w:sz="0" w:space="0" w:color="auto"/>
        <w:left w:val="none" w:sz="0" w:space="0" w:color="auto"/>
        <w:bottom w:val="none" w:sz="0" w:space="0" w:color="auto"/>
        <w:right w:val="none" w:sz="0" w:space="0" w:color="auto"/>
      </w:divBdr>
    </w:div>
    <w:div w:id="932470939">
      <w:bodyDiv w:val="1"/>
      <w:marLeft w:val="0"/>
      <w:marRight w:val="0"/>
      <w:marTop w:val="0"/>
      <w:marBottom w:val="0"/>
      <w:divBdr>
        <w:top w:val="none" w:sz="0" w:space="0" w:color="auto"/>
        <w:left w:val="none" w:sz="0" w:space="0" w:color="auto"/>
        <w:bottom w:val="none" w:sz="0" w:space="0" w:color="auto"/>
        <w:right w:val="none" w:sz="0" w:space="0" w:color="auto"/>
      </w:divBdr>
    </w:div>
    <w:div w:id="1085305637">
      <w:bodyDiv w:val="1"/>
      <w:marLeft w:val="0"/>
      <w:marRight w:val="0"/>
      <w:marTop w:val="0"/>
      <w:marBottom w:val="0"/>
      <w:divBdr>
        <w:top w:val="none" w:sz="0" w:space="0" w:color="auto"/>
        <w:left w:val="none" w:sz="0" w:space="0" w:color="auto"/>
        <w:bottom w:val="none" w:sz="0" w:space="0" w:color="auto"/>
        <w:right w:val="none" w:sz="0" w:space="0" w:color="auto"/>
      </w:divBdr>
    </w:div>
    <w:div w:id="1114598824">
      <w:bodyDiv w:val="1"/>
      <w:marLeft w:val="0"/>
      <w:marRight w:val="0"/>
      <w:marTop w:val="0"/>
      <w:marBottom w:val="0"/>
      <w:divBdr>
        <w:top w:val="none" w:sz="0" w:space="0" w:color="auto"/>
        <w:left w:val="none" w:sz="0" w:space="0" w:color="auto"/>
        <w:bottom w:val="none" w:sz="0" w:space="0" w:color="auto"/>
        <w:right w:val="none" w:sz="0" w:space="0" w:color="auto"/>
      </w:divBdr>
    </w:div>
    <w:div w:id="1164592936">
      <w:bodyDiv w:val="1"/>
      <w:marLeft w:val="0"/>
      <w:marRight w:val="0"/>
      <w:marTop w:val="0"/>
      <w:marBottom w:val="0"/>
      <w:divBdr>
        <w:top w:val="none" w:sz="0" w:space="0" w:color="auto"/>
        <w:left w:val="none" w:sz="0" w:space="0" w:color="auto"/>
        <w:bottom w:val="none" w:sz="0" w:space="0" w:color="auto"/>
        <w:right w:val="none" w:sz="0" w:space="0" w:color="auto"/>
      </w:divBdr>
    </w:div>
    <w:div w:id="1200901724">
      <w:bodyDiv w:val="1"/>
      <w:marLeft w:val="0"/>
      <w:marRight w:val="0"/>
      <w:marTop w:val="0"/>
      <w:marBottom w:val="0"/>
      <w:divBdr>
        <w:top w:val="none" w:sz="0" w:space="0" w:color="auto"/>
        <w:left w:val="none" w:sz="0" w:space="0" w:color="auto"/>
        <w:bottom w:val="none" w:sz="0" w:space="0" w:color="auto"/>
        <w:right w:val="none" w:sz="0" w:space="0" w:color="auto"/>
      </w:divBdr>
    </w:div>
    <w:div w:id="1204441602">
      <w:bodyDiv w:val="1"/>
      <w:marLeft w:val="0"/>
      <w:marRight w:val="0"/>
      <w:marTop w:val="0"/>
      <w:marBottom w:val="0"/>
      <w:divBdr>
        <w:top w:val="none" w:sz="0" w:space="0" w:color="auto"/>
        <w:left w:val="none" w:sz="0" w:space="0" w:color="auto"/>
        <w:bottom w:val="none" w:sz="0" w:space="0" w:color="auto"/>
        <w:right w:val="none" w:sz="0" w:space="0" w:color="auto"/>
      </w:divBdr>
    </w:div>
    <w:div w:id="1208104184">
      <w:bodyDiv w:val="1"/>
      <w:marLeft w:val="0"/>
      <w:marRight w:val="0"/>
      <w:marTop w:val="0"/>
      <w:marBottom w:val="0"/>
      <w:divBdr>
        <w:top w:val="none" w:sz="0" w:space="0" w:color="auto"/>
        <w:left w:val="none" w:sz="0" w:space="0" w:color="auto"/>
        <w:bottom w:val="none" w:sz="0" w:space="0" w:color="auto"/>
        <w:right w:val="none" w:sz="0" w:space="0" w:color="auto"/>
      </w:divBdr>
    </w:div>
    <w:div w:id="1270818648">
      <w:bodyDiv w:val="1"/>
      <w:marLeft w:val="0"/>
      <w:marRight w:val="0"/>
      <w:marTop w:val="0"/>
      <w:marBottom w:val="0"/>
      <w:divBdr>
        <w:top w:val="none" w:sz="0" w:space="0" w:color="auto"/>
        <w:left w:val="none" w:sz="0" w:space="0" w:color="auto"/>
        <w:bottom w:val="none" w:sz="0" w:space="0" w:color="auto"/>
        <w:right w:val="none" w:sz="0" w:space="0" w:color="auto"/>
      </w:divBdr>
    </w:div>
    <w:div w:id="1348024632">
      <w:bodyDiv w:val="1"/>
      <w:marLeft w:val="0"/>
      <w:marRight w:val="0"/>
      <w:marTop w:val="0"/>
      <w:marBottom w:val="0"/>
      <w:divBdr>
        <w:top w:val="none" w:sz="0" w:space="0" w:color="auto"/>
        <w:left w:val="none" w:sz="0" w:space="0" w:color="auto"/>
        <w:bottom w:val="none" w:sz="0" w:space="0" w:color="auto"/>
        <w:right w:val="none" w:sz="0" w:space="0" w:color="auto"/>
      </w:divBdr>
    </w:div>
    <w:div w:id="1445004978">
      <w:bodyDiv w:val="1"/>
      <w:marLeft w:val="0"/>
      <w:marRight w:val="0"/>
      <w:marTop w:val="0"/>
      <w:marBottom w:val="0"/>
      <w:divBdr>
        <w:top w:val="none" w:sz="0" w:space="0" w:color="auto"/>
        <w:left w:val="none" w:sz="0" w:space="0" w:color="auto"/>
        <w:bottom w:val="none" w:sz="0" w:space="0" w:color="auto"/>
        <w:right w:val="none" w:sz="0" w:space="0" w:color="auto"/>
      </w:divBdr>
    </w:div>
    <w:div w:id="1493133365">
      <w:bodyDiv w:val="1"/>
      <w:marLeft w:val="0"/>
      <w:marRight w:val="0"/>
      <w:marTop w:val="0"/>
      <w:marBottom w:val="0"/>
      <w:divBdr>
        <w:top w:val="none" w:sz="0" w:space="0" w:color="auto"/>
        <w:left w:val="none" w:sz="0" w:space="0" w:color="auto"/>
        <w:bottom w:val="none" w:sz="0" w:space="0" w:color="auto"/>
        <w:right w:val="none" w:sz="0" w:space="0" w:color="auto"/>
      </w:divBdr>
    </w:div>
    <w:div w:id="1715697424">
      <w:bodyDiv w:val="1"/>
      <w:marLeft w:val="0"/>
      <w:marRight w:val="0"/>
      <w:marTop w:val="0"/>
      <w:marBottom w:val="0"/>
      <w:divBdr>
        <w:top w:val="none" w:sz="0" w:space="0" w:color="auto"/>
        <w:left w:val="none" w:sz="0" w:space="0" w:color="auto"/>
        <w:bottom w:val="none" w:sz="0" w:space="0" w:color="auto"/>
        <w:right w:val="none" w:sz="0" w:space="0" w:color="auto"/>
      </w:divBdr>
    </w:div>
    <w:div w:id="1736588075">
      <w:bodyDiv w:val="1"/>
      <w:marLeft w:val="0"/>
      <w:marRight w:val="0"/>
      <w:marTop w:val="0"/>
      <w:marBottom w:val="0"/>
      <w:divBdr>
        <w:top w:val="none" w:sz="0" w:space="0" w:color="auto"/>
        <w:left w:val="none" w:sz="0" w:space="0" w:color="auto"/>
        <w:bottom w:val="none" w:sz="0" w:space="0" w:color="auto"/>
        <w:right w:val="none" w:sz="0" w:space="0" w:color="auto"/>
      </w:divBdr>
    </w:div>
    <w:div w:id="1951082647">
      <w:bodyDiv w:val="1"/>
      <w:marLeft w:val="0"/>
      <w:marRight w:val="0"/>
      <w:marTop w:val="0"/>
      <w:marBottom w:val="0"/>
      <w:divBdr>
        <w:top w:val="none" w:sz="0" w:space="0" w:color="auto"/>
        <w:left w:val="none" w:sz="0" w:space="0" w:color="auto"/>
        <w:bottom w:val="none" w:sz="0" w:space="0" w:color="auto"/>
        <w:right w:val="none" w:sz="0" w:space="0" w:color="auto"/>
      </w:divBdr>
    </w:div>
    <w:div w:id="20152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rtedinsurance.co.uk/"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itishsenior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sa.gov.uk/register/" TargetMode="External"/><Relationship Id="rId4" Type="http://schemas.microsoft.com/office/2007/relationships/stylesWithEffects" Target="stylesWithEffects.xml"/><Relationship Id="rId9" Type="http://schemas.openxmlformats.org/officeDocument/2006/relationships/hyperlink" Target="mailto:Annabelr@lanson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9CED-0316-4480-9E03-BB86ECC8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Annable</dc:creator>
  <cp:lastModifiedBy>TMI</cp:lastModifiedBy>
  <cp:revision>2</cp:revision>
  <cp:lastPrinted>2016-02-05T16:29:00Z</cp:lastPrinted>
  <dcterms:created xsi:type="dcterms:W3CDTF">2016-02-25T12:55:00Z</dcterms:created>
  <dcterms:modified xsi:type="dcterms:W3CDTF">2016-02-25T12:55:00Z</dcterms:modified>
</cp:coreProperties>
</file>